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38F" w:rsidRPr="0056321E" w:rsidRDefault="00A6006C" w:rsidP="0056321E">
      <w:pPr>
        <w:pStyle w:val="Testopreformattato"/>
        <w:tabs>
          <w:tab w:val="left" w:pos="8789"/>
        </w:tabs>
        <w:spacing w:line="360" w:lineRule="auto"/>
        <w:ind w:right="-7"/>
        <w:jc w:val="both"/>
        <w:rPr>
          <w:rFonts w:ascii="Times New Roman" w:hAnsi="Times New Roman" w:cs="Times New Roman"/>
          <w:color w:val="222222"/>
          <w:sz w:val="24"/>
          <w:szCs w:val="24"/>
          <w:lang w:val="en"/>
        </w:rPr>
      </w:pPr>
      <w:r w:rsidRPr="0056321E">
        <w:rPr>
          <w:rFonts w:ascii="Times New Roman" w:hAnsi="Times New Roman" w:cs="Times New Roman"/>
          <w:b/>
          <w:bCs/>
          <w:color w:val="222222"/>
          <w:sz w:val="24"/>
          <w:szCs w:val="24"/>
          <w:lang w:val="en"/>
        </w:rPr>
        <w:t>Final Report</w:t>
      </w:r>
      <w:r w:rsidR="0067438F" w:rsidRPr="0056321E">
        <w:rPr>
          <w:rFonts w:ascii="Times New Roman" w:hAnsi="Times New Roman" w:cs="Times New Roman"/>
          <w:b/>
          <w:bCs/>
          <w:color w:val="222222"/>
          <w:sz w:val="24"/>
          <w:szCs w:val="24"/>
          <w:lang w:val="en"/>
        </w:rPr>
        <w:t xml:space="preserve"> IO 1:</w:t>
      </w:r>
      <w:r w:rsidRPr="0056321E">
        <w:rPr>
          <w:rFonts w:ascii="Times New Roman" w:hAnsi="Times New Roman" w:cs="Times New Roman"/>
          <w:b/>
          <w:bCs/>
          <w:color w:val="222222"/>
          <w:sz w:val="24"/>
          <w:szCs w:val="24"/>
          <w:lang w:val="en"/>
        </w:rPr>
        <w:t xml:space="preserve"> </w:t>
      </w:r>
      <w:r w:rsidR="0067438F" w:rsidRPr="0056321E">
        <w:rPr>
          <w:rFonts w:ascii="Times New Roman" w:hAnsi="Times New Roman" w:cs="Times New Roman"/>
          <w:b/>
          <w:bCs/>
          <w:color w:val="222222"/>
          <w:sz w:val="24"/>
          <w:szCs w:val="24"/>
          <w:lang w:val="en"/>
        </w:rPr>
        <w:t>Female prisoners in Italy</w:t>
      </w:r>
    </w:p>
    <w:p w:rsidR="00A6006C" w:rsidRPr="0056321E" w:rsidRDefault="00A6006C" w:rsidP="0056321E">
      <w:pPr>
        <w:pStyle w:val="Testopreformattato"/>
        <w:tabs>
          <w:tab w:val="left" w:pos="8789"/>
        </w:tabs>
        <w:spacing w:line="360" w:lineRule="auto"/>
        <w:ind w:right="-7"/>
        <w:jc w:val="both"/>
        <w:rPr>
          <w:rFonts w:ascii="Times New Roman" w:hAnsi="Times New Roman" w:cs="Times New Roman"/>
          <w:b/>
          <w:bCs/>
          <w:color w:val="222222"/>
          <w:sz w:val="24"/>
          <w:szCs w:val="24"/>
          <w:lang w:val="en"/>
        </w:rPr>
      </w:pPr>
    </w:p>
    <w:p w:rsidR="0067438F" w:rsidRPr="0056321E" w:rsidRDefault="0067438F" w:rsidP="0056321E">
      <w:pPr>
        <w:pStyle w:val="Testopreformattato"/>
        <w:tabs>
          <w:tab w:val="left" w:pos="8789"/>
        </w:tabs>
        <w:spacing w:line="360" w:lineRule="auto"/>
        <w:ind w:right="-7"/>
        <w:jc w:val="both"/>
        <w:rPr>
          <w:rFonts w:ascii="Times New Roman" w:hAnsi="Times New Roman" w:cs="Times New Roman"/>
          <w:color w:val="222222"/>
          <w:sz w:val="24"/>
          <w:szCs w:val="24"/>
          <w:lang w:val="en"/>
        </w:rPr>
      </w:pPr>
      <w:r w:rsidRPr="0056321E">
        <w:rPr>
          <w:rFonts w:ascii="Times New Roman" w:hAnsi="Times New Roman" w:cs="Times New Roman"/>
          <w:color w:val="222222"/>
          <w:sz w:val="24"/>
          <w:szCs w:val="24"/>
          <w:lang w:val="en"/>
        </w:rPr>
        <w:t xml:space="preserve">The Pal Women project, as a general aim, </w:t>
      </w:r>
      <w:r w:rsidR="00914015" w:rsidRPr="0056321E">
        <w:rPr>
          <w:rFonts w:ascii="Times New Roman" w:hAnsi="Times New Roman" w:cs="Times New Roman"/>
          <w:color w:val="222222"/>
          <w:sz w:val="24"/>
          <w:szCs w:val="24"/>
          <w:lang w:val="en"/>
        </w:rPr>
        <w:t>has</w:t>
      </w:r>
      <w:r w:rsidR="00914015" w:rsidRPr="0056321E">
        <w:rPr>
          <w:rFonts w:ascii="Times New Roman" w:hAnsi="Times New Roman" w:cs="Times New Roman"/>
          <w:color w:val="222222"/>
          <w:sz w:val="24"/>
          <w:szCs w:val="24"/>
          <w:lang w:val="en"/>
        </w:rPr>
        <w:t xml:space="preserve"> </w:t>
      </w:r>
      <w:r w:rsidRPr="0056321E">
        <w:rPr>
          <w:rFonts w:ascii="Times New Roman" w:hAnsi="Times New Roman" w:cs="Times New Roman"/>
          <w:color w:val="222222"/>
          <w:sz w:val="24"/>
          <w:szCs w:val="24"/>
          <w:lang w:val="en"/>
        </w:rPr>
        <w:t>the integration of women in disadvantaged conditions, improving their basic skills through adult learning and training in doing business, in order to increase their chances of being placed in the world of work, both within social cooperatives and by encouraging and supporting the development of new entrepreneurial and self-employment realities.</w:t>
      </w:r>
    </w:p>
    <w:p w:rsidR="0067438F" w:rsidRPr="0056321E" w:rsidRDefault="0067438F" w:rsidP="0056321E">
      <w:pPr>
        <w:pStyle w:val="Testopreformattato"/>
        <w:tabs>
          <w:tab w:val="left" w:pos="8789"/>
        </w:tabs>
        <w:spacing w:line="360" w:lineRule="auto"/>
        <w:ind w:right="-7"/>
        <w:jc w:val="both"/>
        <w:rPr>
          <w:rFonts w:ascii="Times New Roman" w:hAnsi="Times New Roman" w:cs="Times New Roman"/>
          <w:color w:val="222222"/>
          <w:sz w:val="24"/>
          <w:szCs w:val="24"/>
          <w:lang w:val="en"/>
        </w:rPr>
      </w:pPr>
      <w:r w:rsidRPr="0056321E">
        <w:rPr>
          <w:rFonts w:ascii="Times New Roman" w:hAnsi="Times New Roman" w:cs="Times New Roman"/>
          <w:color w:val="222222"/>
          <w:sz w:val="24"/>
          <w:szCs w:val="24"/>
          <w:lang w:val="en"/>
        </w:rPr>
        <w:t xml:space="preserve">In this context, </w:t>
      </w:r>
      <w:proofErr w:type="spellStart"/>
      <w:r w:rsidRPr="0056321E">
        <w:rPr>
          <w:rFonts w:ascii="Times New Roman" w:hAnsi="Times New Roman" w:cs="Times New Roman"/>
          <w:color w:val="222222"/>
          <w:sz w:val="24"/>
          <w:szCs w:val="24"/>
          <w:lang w:val="en"/>
        </w:rPr>
        <w:t>Consorzio</w:t>
      </w:r>
      <w:proofErr w:type="spellEnd"/>
      <w:r w:rsidRPr="0056321E">
        <w:rPr>
          <w:rFonts w:ascii="Times New Roman" w:hAnsi="Times New Roman" w:cs="Times New Roman"/>
          <w:color w:val="222222"/>
          <w:sz w:val="24"/>
          <w:szCs w:val="24"/>
          <w:lang w:val="en"/>
        </w:rPr>
        <w:t xml:space="preserve"> </w:t>
      </w:r>
      <w:proofErr w:type="spellStart"/>
      <w:r w:rsidRPr="0056321E">
        <w:rPr>
          <w:rFonts w:ascii="Times New Roman" w:hAnsi="Times New Roman" w:cs="Times New Roman"/>
          <w:color w:val="222222"/>
          <w:sz w:val="24"/>
          <w:szCs w:val="24"/>
          <w:lang w:val="en"/>
        </w:rPr>
        <w:t>Innopolis</w:t>
      </w:r>
      <w:proofErr w:type="spellEnd"/>
      <w:r w:rsidRPr="0056321E">
        <w:rPr>
          <w:rFonts w:ascii="Times New Roman" w:hAnsi="Times New Roman" w:cs="Times New Roman"/>
          <w:color w:val="222222"/>
          <w:sz w:val="24"/>
          <w:szCs w:val="24"/>
          <w:lang w:val="en"/>
        </w:rPr>
        <w:t xml:space="preserve"> deals with involving prisoners and ex-prisoners in training and mentoring activities aimed at promoting their social inclusion; </w:t>
      </w:r>
      <w:r w:rsidR="00914015">
        <w:rPr>
          <w:rFonts w:ascii="Times New Roman" w:hAnsi="Times New Roman" w:cs="Times New Roman"/>
          <w:color w:val="222222"/>
          <w:sz w:val="24"/>
          <w:szCs w:val="24"/>
          <w:lang w:val="en"/>
        </w:rPr>
        <w:t xml:space="preserve">it </w:t>
      </w:r>
      <w:r w:rsidRPr="0056321E">
        <w:rPr>
          <w:rFonts w:ascii="Times New Roman" w:hAnsi="Times New Roman" w:cs="Times New Roman"/>
          <w:color w:val="222222"/>
          <w:sz w:val="24"/>
          <w:szCs w:val="24"/>
          <w:lang w:val="en"/>
        </w:rPr>
        <w:t>provide</w:t>
      </w:r>
      <w:r w:rsidR="00914015">
        <w:rPr>
          <w:rFonts w:ascii="Times New Roman" w:hAnsi="Times New Roman" w:cs="Times New Roman"/>
          <w:color w:val="222222"/>
          <w:sz w:val="24"/>
          <w:szCs w:val="24"/>
          <w:lang w:val="en"/>
        </w:rPr>
        <w:t>s</w:t>
      </w:r>
      <w:r w:rsidRPr="0056321E">
        <w:rPr>
          <w:rFonts w:ascii="Times New Roman" w:hAnsi="Times New Roman" w:cs="Times New Roman"/>
          <w:color w:val="222222"/>
          <w:sz w:val="24"/>
          <w:szCs w:val="24"/>
          <w:lang w:val="en"/>
        </w:rPr>
        <w:t xml:space="preserve"> notions of entrepreneurship and promote</w:t>
      </w:r>
      <w:r w:rsidR="00914015">
        <w:rPr>
          <w:rFonts w:ascii="Times New Roman" w:hAnsi="Times New Roman" w:cs="Times New Roman"/>
          <w:color w:val="222222"/>
          <w:sz w:val="24"/>
          <w:szCs w:val="24"/>
          <w:lang w:val="en"/>
        </w:rPr>
        <w:t>s</w:t>
      </w:r>
      <w:r w:rsidRPr="0056321E">
        <w:rPr>
          <w:rFonts w:ascii="Times New Roman" w:hAnsi="Times New Roman" w:cs="Times New Roman"/>
          <w:color w:val="222222"/>
          <w:sz w:val="24"/>
          <w:szCs w:val="24"/>
          <w:lang w:val="en"/>
        </w:rPr>
        <w:t xml:space="preserve"> opportunities for the development of a social redemption; </w:t>
      </w:r>
      <w:r w:rsidR="00914015">
        <w:rPr>
          <w:rFonts w:ascii="Times New Roman" w:hAnsi="Times New Roman" w:cs="Times New Roman"/>
          <w:color w:val="222222"/>
          <w:sz w:val="24"/>
          <w:szCs w:val="24"/>
          <w:lang w:val="en"/>
        </w:rPr>
        <w:t xml:space="preserve">it </w:t>
      </w:r>
      <w:r w:rsidRPr="0056321E">
        <w:rPr>
          <w:rFonts w:ascii="Times New Roman" w:hAnsi="Times New Roman" w:cs="Times New Roman"/>
          <w:color w:val="222222"/>
          <w:sz w:val="24"/>
          <w:szCs w:val="24"/>
          <w:lang w:val="en"/>
        </w:rPr>
        <w:t>support</w:t>
      </w:r>
      <w:r w:rsidR="00914015">
        <w:rPr>
          <w:rFonts w:ascii="Times New Roman" w:hAnsi="Times New Roman" w:cs="Times New Roman"/>
          <w:color w:val="222222"/>
          <w:sz w:val="24"/>
          <w:szCs w:val="24"/>
          <w:lang w:val="en"/>
        </w:rPr>
        <w:t>s</w:t>
      </w:r>
      <w:r w:rsidRPr="0056321E">
        <w:rPr>
          <w:rFonts w:ascii="Times New Roman" w:hAnsi="Times New Roman" w:cs="Times New Roman"/>
          <w:color w:val="222222"/>
          <w:sz w:val="24"/>
          <w:szCs w:val="24"/>
          <w:lang w:val="en"/>
        </w:rPr>
        <w:t xml:space="preserve"> innovations in management and artisan production, and encourage</w:t>
      </w:r>
      <w:r w:rsidR="00914015">
        <w:rPr>
          <w:rFonts w:ascii="Times New Roman" w:hAnsi="Times New Roman" w:cs="Times New Roman"/>
          <w:color w:val="222222"/>
          <w:sz w:val="24"/>
          <w:szCs w:val="24"/>
          <w:lang w:val="en"/>
        </w:rPr>
        <w:t>s</w:t>
      </w:r>
      <w:r w:rsidRPr="0056321E">
        <w:rPr>
          <w:rFonts w:ascii="Times New Roman" w:hAnsi="Times New Roman" w:cs="Times New Roman"/>
          <w:color w:val="222222"/>
          <w:sz w:val="24"/>
          <w:szCs w:val="24"/>
          <w:lang w:val="en"/>
        </w:rPr>
        <w:t xml:space="preserve"> good practices in the introduction of new business models</w:t>
      </w:r>
      <w:r w:rsidR="00914015">
        <w:rPr>
          <w:rFonts w:ascii="Times New Roman" w:hAnsi="Times New Roman" w:cs="Times New Roman"/>
          <w:color w:val="222222"/>
          <w:sz w:val="24"/>
          <w:szCs w:val="24"/>
          <w:lang w:val="en"/>
        </w:rPr>
        <w:t>.</w:t>
      </w:r>
    </w:p>
    <w:p w:rsidR="00EF20B4" w:rsidRPr="0056321E" w:rsidRDefault="00EF20B4" w:rsidP="0056321E">
      <w:pPr>
        <w:pStyle w:val="Testopreformattato"/>
        <w:tabs>
          <w:tab w:val="left" w:pos="8789"/>
        </w:tabs>
        <w:spacing w:line="360" w:lineRule="auto"/>
        <w:ind w:right="-7"/>
        <w:jc w:val="both"/>
        <w:rPr>
          <w:rFonts w:ascii="Times New Roman" w:hAnsi="Times New Roman" w:cs="Times New Roman"/>
          <w:color w:val="222222"/>
          <w:sz w:val="24"/>
          <w:szCs w:val="24"/>
          <w:lang w:val="en-US"/>
        </w:rPr>
      </w:pPr>
    </w:p>
    <w:p w:rsidR="00EF20B4" w:rsidRPr="0056321E" w:rsidRDefault="00EF20B4" w:rsidP="0056321E">
      <w:pPr>
        <w:pStyle w:val="Testopreformattato"/>
        <w:tabs>
          <w:tab w:val="left" w:pos="8789"/>
        </w:tabs>
        <w:spacing w:line="360" w:lineRule="auto"/>
        <w:ind w:right="-7"/>
        <w:jc w:val="both"/>
        <w:rPr>
          <w:rFonts w:ascii="Times New Roman" w:hAnsi="Times New Roman" w:cs="Times New Roman"/>
          <w:color w:val="222222"/>
          <w:sz w:val="24"/>
          <w:szCs w:val="24"/>
          <w:lang w:val="en"/>
        </w:rPr>
      </w:pPr>
      <w:r w:rsidRPr="0056321E">
        <w:rPr>
          <w:rFonts w:ascii="Times New Roman" w:hAnsi="Times New Roman" w:cs="Times New Roman"/>
          <w:color w:val="222222"/>
          <w:sz w:val="24"/>
          <w:szCs w:val="24"/>
          <w:lang w:val="en"/>
        </w:rPr>
        <w:t>There are 2713 women in Italian prisons out of a total of 61174 prisoners</w:t>
      </w:r>
      <w:r w:rsidRPr="0056321E">
        <w:rPr>
          <w:rStyle w:val="Rimandonotaapidipagina1"/>
          <w:rFonts w:ascii="Times New Roman" w:hAnsi="Times New Roman" w:cs="Times New Roman"/>
          <w:color w:val="222222"/>
          <w:sz w:val="24"/>
          <w:szCs w:val="24"/>
          <w:lang w:val="en"/>
        </w:rPr>
        <w:footnoteReference w:id="1"/>
      </w:r>
      <w:r w:rsidRPr="0056321E">
        <w:rPr>
          <w:rFonts w:ascii="Times New Roman" w:hAnsi="Times New Roman" w:cs="Times New Roman"/>
          <w:color w:val="222222"/>
          <w:sz w:val="24"/>
          <w:szCs w:val="24"/>
          <w:lang w:val="en"/>
        </w:rPr>
        <w:t>.</w:t>
      </w:r>
    </w:p>
    <w:p w:rsidR="00EF20B4" w:rsidRPr="0056321E" w:rsidRDefault="00EF20B4" w:rsidP="0056321E">
      <w:pPr>
        <w:pStyle w:val="Testopreformattato"/>
        <w:tabs>
          <w:tab w:val="left" w:pos="8789"/>
        </w:tabs>
        <w:spacing w:line="360" w:lineRule="auto"/>
        <w:ind w:right="-7"/>
        <w:jc w:val="both"/>
        <w:rPr>
          <w:rFonts w:ascii="Times New Roman" w:hAnsi="Times New Roman" w:cs="Times New Roman"/>
          <w:color w:val="222222"/>
          <w:sz w:val="24"/>
          <w:szCs w:val="24"/>
          <w:lang w:val="en"/>
        </w:rPr>
      </w:pPr>
      <w:r w:rsidRPr="0056321E">
        <w:rPr>
          <w:rFonts w:ascii="Times New Roman" w:hAnsi="Times New Roman" w:cs="Times New Roman"/>
          <w:color w:val="222222"/>
          <w:sz w:val="24"/>
          <w:szCs w:val="24"/>
          <w:lang w:val="en"/>
        </w:rPr>
        <w:t>They represent 4.4%</w:t>
      </w:r>
      <w:r w:rsidRPr="0056321E">
        <w:rPr>
          <w:rStyle w:val="Rimandonotaapidipagina1"/>
          <w:rFonts w:ascii="Times New Roman" w:hAnsi="Times New Roman" w:cs="Times New Roman"/>
          <w:color w:val="222222"/>
          <w:sz w:val="24"/>
          <w:szCs w:val="24"/>
          <w:lang w:val="en"/>
        </w:rPr>
        <w:footnoteReference w:id="2"/>
      </w:r>
      <w:r w:rsidRPr="0056321E">
        <w:rPr>
          <w:rFonts w:ascii="Times New Roman" w:hAnsi="Times New Roman" w:cs="Times New Roman"/>
          <w:color w:val="222222"/>
          <w:sz w:val="24"/>
          <w:szCs w:val="24"/>
          <w:lang w:val="en"/>
        </w:rPr>
        <w:t xml:space="preserve">  of the total number of people detained, confirming the percentages reported by the European Commission. Only 25% of the inmates serve the sentence in one of the four exclusively female institutes currently operating in Italy (</w:t>
      </w:r>
      <w:proofErr w:type="spellStart"/>
      <w:r w:rsidRPr="0056321E">
        <w:rPr>
          <w:rFonts w:ascii="Times New Roman" w:hAnsi="Times New Roman" w:cs="Times New Roman"/>
          <w:color w:val="222222"/>
          <w:sz w:val="24"/>
          <w:szCs w:val="24"/>
          <w:lang w:val="en"/>
        </w:rPr>
        <w:t>Trani</w:t>
      </w:r>
      <w:proofErr w:type="spellEnd"/>
      <w:r w:rsidRPr="0056321E">
        <w:rPr>
          <w:rFonts w:ascii="Times New Roman" w:hAnsi="Times New Roman" w:cs="Times New Roman"/>
          <w:color w:val="222222"/>
          <w:sz w:val="24"/>
          <w:szCs w:val="24"/>
          <w:lang w:val="en"/>
        </w:rPr>
        <w:t>, Pozzuoli, Rome-</w:t>
      </w:r>
      <w:proofErr w:type="spellStart"/>
      <w:r w:rsidRPr="0056321E">
        <w:rPr>
          <w:rFonts w:ascii="Times New Roman" w:hAnsi="Times New Roman" w:cs="Times New Roman"/>
          <w:color w:val="222222"/>
          <w:sz w:val="24"/>
          <w:szCs w:val="24"/>
          <w:lang w:val="en"/>
        </w:rPr>
        <w:t>Rebibbia</w:t>
      </w:r>
      <w:proofErr w:type="spellEnd"/>
      <w:r w:rsidRPr="0056321E">
        <w:rPr>
          <w:rFonts w:ascii="Times New Roman" w:hAnsi="Times New Roman" w:cs="Times New Roman"/>
          <w:color w:val="222222"/>
          <w:sz w:val="24"/>
          <w:szCs w:val="24"/>
          <w:lang w:val="en"/>
        </w:rPr>
        <w:t xml:space="preserve"> and Venice-Giudecca), whereas the remaining 75% is distributed among the approximately fifty female sections obtained at internal male prisons present in all regions except Valle d'Aosta and Molise.</w:t>
      </w:r>
    </w:p>
    <w:p w:rsidR="00EF20B4" w:rsidRPr="0056321E" w:rsidRDefault="00EF20B4" w:rsidP="0056321E">
      <w:pPr>
        <w:pStyle w:val="Testopreformattato"/>
        <w:tabs>
          <w:tab w:val="left" w:pos="8789"/>
        </w:tabs>
        <w:spacing w:line="360" w:lineRule="auto"/>
        <w:ind w:right="-7"/>
        <w:jc w:val="both"/>
        <w:rPr>
          <w:rFonts w:ascii="Times New Roman" w:hAnsi="Times New Roman" w:cs="Times New Roman"/>
          <w:color w:val="222222"/>
          <w:sz w:val="24"/>
          <w:szCs w:val="24"/>
          <w:lang w:val="en"/>
        </w:rPr>
      </w:pPr>
      <w:bookmarkStart w:id="0" w:name="tw-target-text8"/>
      <w:bookmarkEnd w:id="0"/>
      <w:r w:rsidRPr="0056321E">
        <w:rPr>
          <w:rFonts w:ascii="Times New Roman" w:hAnsi="Times New Roman" w:cs="Times New Roman"/>
          <w:color w:val="222222"/>
          <w:sz w:val="24"/>
          <w:szCs w:val="24"/>
          <w:lang w:val="en"/>
        </w:rPr>
        <w:t>The women who enter prison are marked by a context of serious social marginality, reflected in the type of crimes for which they are imprisoned. Asset-related crimes, the drug law and crimes against the person are those for which women are most frequently sentenced to prison terms.</w:t>
      </w:r>
    </w:p>
    <w:p w:rsidR="0056321E" w:rsidRDefault="00D9764A" w:rsidP="0056321E">
      <w:pPr>
        <w:pStyle w:val="Testopreformattato"/>
        <w:tabs>
          <w:tab w:val="left" w:pos="8789"/>
        </w:tabs>
        <w:spacing w:line="360" w:lineRule="auto"/>
        <w:ind w:right="-7"/>
        <w:jc w:val="center"/>
        <w:rPr>
          <w:rFonts w:ascii="Times New Roman" w:hAnsi="Times New Roman" w:cs="Times New Roman"/>
          <w:color w:val="222222"/>
          <w:sz w:val="24"/>
          <w:szCs w:val="24"/>
          <w:lang w:val="en"/>
        </w:rPr>
      </w:pPr>
      <w:r w:rsidRPr="0056321E">
        <w:rPr>
          <w:rFonts w:ascii="Times New Roman" w:hAnsi="Times New Roman" w:cs="Times New Roman"/>
          <w:noProof/>
          <w:color w:val="222222"/>
          <w:sz w:val="24"/>
          <w:szCs w:val="24"/>
          <w:lang w:val="en"/>
        </w:rPr>
        <w:drawing>
          <wp:inline distT="0" distB="0" distL="0" distR="0">
            <wp:extent cx="4312356" cy="2556934"/>
            <wp:effectExtent l="0" t="0" r="18415" b="889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6321E" w:rsidRDefault="0056321E">
      <w:pPr>
        <w:rPr>
          <w:rFonts w:ascii="Times New Roman" w:eastAsia="Courier New" w:hAnsi="Times New Roman" w:cs="Times New Roman"/>
          <w:color w:val="222222"/>
          <w:kern w:val="1"/>
          <w:lang w:val="en" w:eastAsia="hi-IN" w:bidi="hi-IN"/>
        </w:rPr>
      </w:pPr>
      <w:r>
        <w:rPr>
          <w:rFonts w:ascii="Times New Roman" w:hAnsi="Times New Roman" w:cs="Times New Roman"/>
          <w:color w:val="222222"/>
          <w:lang w:val="en"/>
        </w:rPr>
        <w:br w:type="page"/>
      </w:r>
    </w:p>
    <w:p w:rsidR="00053577" w:rsidRPr="00053577" w:rsidRDefault="00053577" w:rsidP="00053577">
      <w:pPr>
        <w:spacing w:line="360" w:lineRule="auto"/>
        <w:rPr>
          <w:rFonts w:ascii="Times New Roman" w:eastAsia="Times New Roman" w:hAnsi="Times New Roman" w:cs="Times New Roman"/>
          <w:lang w:val="en-US" w:eastAsia="it-IT"/>
        </w:rPr>
      </w:pPr>
      <w:r w:rsidRPr="00053577">
        <w:rPr>
          <w:rFonts w:ascii="Times New Roman" w:eastAsia="Times New Roman" w:hAnsi="Times New Roman" w:cs="Times New Roman"/>
          <w:lang w:val="en-US" w:eastAsia="it-IT"/>
        </w:rPr>
        <w:lastRenderedPageBreak/>
        <w:br/>
      </w:r>
      <w:r w:rsidRPr="00053577">
        <w:rPr>
          <w:rFonts w:ascii="Times New Roman" w:eastAsia="Times New Roman" w:hAnsi="Times New Roman" w:cs="Times New Roman"/>
          <w:color w:val="222222"/>
          <w:shd w:val="clear" w:color="auto" w:fill="F8F9FA"/>
          <w:lang w:val="en-US" w:eastAsia="it-IT"/>
        </w:rPr>
        <w:t>The</w:t>
      </w:r>
      <w:r>
        <w:rPr>
          <w:rFonts w:ascii="Times New Roman" w:eastAsia="Times New Roman" w:hAnsi="Times New Roman" w:cs="Times New Roman"/>
          <w:color w:val="222222"/>
          <w:shd w:val="clear" w:color="auto" w:fill="F8F9FA"/>
          <w:lang w:val="en-US" w:eastAsia="it-IT"/>
        </w:rPr>
        <w:t xml:space="preserve"> </w:t>
      </w:r>
      <w:r w:rsidRPr="00053577">
        <w:rPr>
          <w:rFonts w:ascii="Times New Roman" w:eastAsia="Times New Roman" w:hAnsi="Times New Roman" w:cs="Times New Roman"/>
          <w:color w:val="222222"/>
          <w:shd w:val="clear" w:color="auto" w:fill="F8F9FA"/>
          <w:lang w:val="en-US" w:eastAsia="it-IT"/>
        </w:rPr>
        <w:t>data show that for many women, the commission of crimes is not the result of the individual option for a life model based on illegality, but derives more frequently from the subordination towards family figures and reference that have adopted it, transmitted it, and sometimes imposed it. In other cases, the detainees were themselves victims of crimes, sometimes the same for which they are atone for punishment: the typical example is that of women in prison for crimes related to the exploitation of prostitution and violation of the rules on immigration, of which almost all the condemned were themselves victims, before "</w:t>
      </w:r>
      <w:r>
        <w:rPr>
          <w:rFonts w:ascii="Times New Roman" w:eastAsia="Times New Roman" w:hAnsi="Times New Roman" w:cs="Times New Roman"/>
          <w:color w:val="222222"/>
          <w:shd w:val="clear" w:color="auto" w:fill="F8F9FA"/>
          <w:lang w:val="en-US" w:eastAsia="it-IT"/>
        </w:rPr>
        <w:t xml:space="preserve">start </w:t>
      </w:r>
      <w:proofErr w:type="spellStart"/>
      <w:r>
        <w:rPr>
          <w:rFonts w:ascii="Times New Roman" w:eastAsia="Times New Roman" w:hAnsi="Times New Roman" w:cs="Times New Roman"/>
          <w:color w:val="222222"/>
          <w:shd w:val="clear" w:color="auto" w:fill="F8F9FA"/>
          <w:lang w:val="en-US" w:eastAsia="it-IT"/>
        </w:rPr>
        <w:t>thei</w:t>
      </w:r>
      <w:proofErr w:type="spellEnd"/>
      <w:r>
        <w:rPr>
          <w:rFonts w:ascii="Times New Roman" w:eastAsia="Times New Roman" w:hAnsi="Times New Roman" w:cs="Times New Roman"/>
          <w:color w:val="222222"/>
          <w:shd w:val="clear" w:color="auto" w:fill="F8F9FA"/>
          <w:lang w:val="en-US" w:eastAsia="it-IT"/>
        </w:rPr>
        <w:t xml:space="preserve"> own business</w:t>
      </w:r>
      <w:r w:rsidRPr="00053577">
        <w:rPr>
          <w:rFonts w:ascii="Times New Roman" w:eastAsia="Times New Roman" w:hAnsi="Times New Roman" w:cs="Times New Roman"/>
          <w:color w:val="222222"/>
          <w:shd w:val="clear" w:color="auto" w:fill="F8F9FA"/>
          <w:lang w:val="en-US" w:eastAsia="it-IT"/>
        </w:rPr>
        <w:t>". Also in this case, the use of crime as a source of sustenance appears to be closely linked to the lack of realistic alternatives, especially in the absence of recognized professional skills in the European country of arrival.</w:t>
      </w:r>
    </w:p>
    <w:p w:rsidR="00D9764A" w:rsidRPr="0056321E" w:rsidRDefault="00D9764A" w:rsidP="0056321E">
      <w:pPr>
        <w:pStyle w:val="Testopreformattato"/>
        <w:tabs>
          <w:tab w:val="left" w:pos="8789"/>
        </w:tabs>
        <w:spacing w:line="360" w:lineRule="auto"/>
        <w:ind w:right="-7"/>
        <w:jc w:val="center"/>
        <w:rPr>
          <w:rFonts w:ascii="Times New Roman" w:hAnsi="Times New Roman" w:cs="Times New Roman"/>
          <w:color w:val="222222"/>
          <w:sz w:val="24"/>
          <w:szCs w:val="24"/>
          <w:lang w:val="en"/>
        </w:rPr>
      </w:pPr>
    </w:p>
    <w:p w:rsidR="0067438F" w:rsidRPr="0056321E" w:rsidRDefault="0067438F" w:rsidP="0056321E">
      <w:pPr>
        <w:pStyle w:val="Testopreformattato"/>
        <w:tabs>
          <w:tab w:val="left" w:pos="8789"/>
        </w:tabs>
        <w:spacing w:line="360" w:lineRule="auto"/>
        <w:ind w:right="-7"/>
        <w:jc w:val="both"/>
        <w:rPr>
          <w:rFonts w:ascii="Times New Roman" w:hAnsi="Times New Roman" w:cs="Times New Roman"/>
          <w:color w:val="222222"/>
          <w:sz w:val="24"/>
          <w:szCs w:val="24"/>
          <w:lang w:val="en"/>
        </w:rPr>
      </w:pPr>
      <w:r w:rsidRPr="0056321E">
        <w:rPr>
          <w:rFonts w:ascii="Times New Roman" w:hAnsi="Times New Roman" w:cs="Times New Roman"/>
          <w:color w:val="222222"/>
          <w:sz w:val="24"/>
          <w:szCs w:val="24"/>
          <w:lang w:val="en"/>
        </w:rPr>
        <w:t>The Italian constitution art. 27</w:t>
      </w:r>
      <w:r w:rsidRPr="0056321E">
        <w:rPr>
          <w:rStyle w:val="Rimandonotaapidipagina"/>
          <w:rFonts w:ascii="Times New Roman" w:hAnsi="Times New Roman" w:cs="Times New Roman"/>
          <w:color w:val="222222"/>
          <w:sz w:val="24"/>
          <w:szCs w:val="24"/>
          <w:lang w:val="en"/>
        </w:rPr>
        <w:footnoteReference w:id="3"/>
      </w:r>
      <w:r w:rsidRPr="0056321E">
        <w:rPr>
          <w:rFonts w:ascii="Times New Roman" w:hAnsi="Times New Roman" w:cs="Times New Roman"/>
          <w:color w:val="222222"/>
          <w:sz w:val="24"/>
          <w:szCs w:val="24"/>
          <w:lang w:val="en"/>
        </w:rPr>
        <w:t xml:space="preserve">, establishes the principle of 're-educative punishment finalism', intended as the creation of the conditions necessary to favor the reintegration of the sentenced person in the community, eliminating or reducing the danger that, once released, </w:t>
      </w:r>
      <w:r w:rsidR="00914015">
        <w:rPr>
          <w:rFonts w:ascii="Times New Roman" w:hAnsi="Times New Roman" w:cs="Times New Roman"/>
          <w:color w:val="222222"/>
          <w:sz w:val="24"/>
          <w:szCs w:val="24"/>
          <w:lang w:val="en"/>
        </w:rPr>
        <w:t>he/s</w:t>
      </w:r>
      <w:r w:rsidRPr="0056321E">
        <w:rPr>
          <w:rFonts w:ascii="Times New Roman" w:hAnsi="Times New Roman" w:cs="Times New Roman"/>
          <w:color w:val="222222"/>
          <w:sz w:val="24"/>
          <w:szCs w:val="24"/>
          <w:lang w:val="en"/>
        </w:rPr>
        <w:t>he may commit new crimes.</w:t>
      </w:r>
    </w:p>
    <w:p w:rsidR="0067438F" w:rsidRPr="0056321E" w:rsidRDefault="0067438F" w:rsidP="0056321E">
      <w:pPr>
        <w:pStyle w:val="Testopreformattato"/>
        <w:tabs>
          <w:tab w:val="left" w:pos="8789"/>
        </w:tabs>
        <w:spacing w:line="360" w:lineRule="auto"/>
        <w:ind w:right="-7"/>
        <w:jc w:val="both"/>
        <w:rPr>
          <w:rFonts w:ascii="Times New Roman" w:hAnsi="Times New Roman" w:cs="Times New Roman"/>
          <w:color w:val="222222"/>
          <w:sz w:val="24"/>
          <w:szCs w:val="24"/>
          <w:lang w:val="en"/>
        </w:rPr>
      </w:pPr>
      <w:bookmarkStart w:id="1" w:name="tw-target-text19"/>
      <w:bookmarkEnd w:id="1"/>
      <w:r w:rsidRPr="0056321E">
        <w:rPr>
          <w:rFonts w:ascii="Times New Roman" w:hAnsi="Times New Roman" w:cs="Times New Roman"/>
          <w:color w:val="222222"/>
          <w:sz w:val="24"/>
          <w:szCs w:val="24"/>
          <w:lang w:val="en"/>
        </w:rPr>
        <w:t>The penitentiary law reform, law n.354 / 75 and subsequent amendments, have implemented this constitutional principle, identifying and regulating rules, tools and methods to guarantee the effective social and employment reintegration of the sentenced.</w:t>
      </w:r>
    </w:p>
    <w:p w:rsidR="0067438F" w:rsidRPr="0056321E" w:rsidRDefault="0067438F" w:rsidP="0056321E">
      <w:pPr>
        <w:pStyle w:val="Testopreformattato"/>
        <w:tabs>
          <w:tab w:val="left" w:pos="8789"/>
        </w:tabs>
        <w:spacing w:line="360" w:lineRule="auto"/>
        <w:ind w:right="-7"/>
        <w:jc w:val="both"/>
        <w:rPr>
          <w:rFonts w:ascii="Times New Roman" w:hAnsi="Times New Roman" w:cs="Times New Roman"/>
          <w:color w:val="222222"/>
          <w:sz w:val="24"/>
          <w:szCs w:val="24"/>
          <w:lang w:val="en"/>
        </w:rPr>
      </w:pPr>
      <w:r w:rsidRPr="0056321E">
        <w:rPr>
          <w:rFonts w:ascii="Times New Roman" w:hAnsi="Times New Roman" w:cs="Times New Roman"/>
          <w:color w:val="222222"/>
          <w:sz w:val="24"/>
          <w:szCs w:val="24"/>
          <w:lang w:val="en"/>
        </w:rPr>
        <w:t xml:space="preserve">In particular, Art. 20 </w:t>
      </w:r>
      <w:r w:rsidR="00914015">
        <w:rPr>
          <w:rFonts w:ascii="Times New Roman" w:hAnsi="Times New Roman" w:cs="Times New Roman"/>
          <w:color w:val="222222"/>
          <w:sz w:val="24"/>
          <w:szCs w:val="24"/>
          <w:lang w:val="en"/>
        </w:rPr>
        <w:t>reports</w:t>
      </w:r>
      <w:r w:rsidRPr="0056321E">
        <w:rPr>
          <w:rFonts w:ascii="Times New Roman" w:hAnsi="Times New Roman" w:cs="Times New Roman"/>
          <w:color w:val="222222"/>
          <w:sz w:val="24"/>
          <w:szCs w:val="24"/>
          <w:lang w:val="en"/>
        </w:rPr>
        <w:t xml:space="preserve"> “In prison institutions, the destination of prisoners and interns at work and their participation in professional training courses must be favored in any way. To this end, processes organized and managed directly by public or private companies may be established and professional training courses organized and carried out by public companies, or even by private companies affiliated with the region, may be established".</w:t>
      </w:r>
    </w:p>
    <w:p w:rsidR="0067438F" w:rsidRPr="0056321E" w:rsidRDefault="0067438F" w:rsidP="0056321E">
      <w:pPr>
        <w:pStyle w:val="Testopreformattato"/>
        <w:tabs>
          <w:tab w:val="left" w:pos="8789"/>
        </w:tabs>
        <w:spacing w:line="360" w:lineRule="auto"/>
        <w:ind w:right="-7"/>
        <w:jc w:val="both"/>
        <w:rPr>
          <w:rFonts w:ascii="Times New Roman" w:hAnsi="Times New Roman" w:cs="Times New Roman"/>
          <w:color w:val="222222"/>
          <w:sz w:val="24"/>
          <w:szCs w:val="24"/>
          <w:lang w:val="en"/>
        </w:rPr>
      </w:pPr>
      <w:r w:rsidRPr="0056321E">
        <w:rPr>
          <w:rFonts w:ascii="Times New Roman" w:hAnsi="Times New Roman" w:cs="Times New Roman"/>
          <w:color w:val="222222"/>
          <w:sz w:val="24"/>
          <w:szCs w:val="24"/>
          <w:lang w:val="en"/>
        </w:rPr>
        <w:t>Based on what is stated in the article, the work within the penitentiary institutions can be carried out both under the penitentiary administration (mostly in the so-called domestic jobs and, in some realities at industrial works for the needs of housing and furniture of the same institutes) which depend on third parties (companies or cooperatives) who can manage work within the detention facilities. To encourage this type of job placement, Law 193 (</w:t>
      </w:r>
      <w:proofErr w:type="spellStart"/>
      <w:r w:rsidRPr="0056321E">
        <w:rPr>
          <w:rFonts w:ascii="Times New Roman" w:hAnsi="Times New Roman" w:cs="Times New Roman"/>
          <w:color w:val="222222"/>
          <w:sz w:val="24"/>
          <w:szCs w:val="24"/>
          <w:lang w:val="en"/>
        </w:rPr>
        <w:t>Sbaraglia</w:t>
      </w:r>
      <w:proofErr w:type="spellEnd"/>
      <w:r w:rsidRPr="0056321E">
        <w:rPr>
          <w:rFonts w:ascii="Times New Roman" w:hAnsi="Times New Roman" w:cs="Times New Roman"/>
          <w:color w:val="222222"/>
          <w:sz w:val="24"/>
          <w:szCs w:val="24"/>
          <w:lang w:val="en"/>
        </w:rPr>
        <w:t xml:space="preserve"> law) was launched in 2000, which provides for tax and contribution relief for companies or cooperatives that hire prisoners. In the analysis dated 2016 in T</w:t>
      </w:r>
      <w:r w:rsidRPr="0056321E">
        <w:rPr>
          <w:rFonts w:ascii="Times New Roman" w:hAnsi="Times New Roman" w:cs="Times New Roman"/>
          <w:i/>
          <w:iCs/>
          <w:color w:val="222222"/>
          <w:sz w:val="24"/>
          <w:szCs w:val="24"/>
          <w:lang w:val="en"/>
        </w:rPr>
        <w:t>he XIII report on conditions of detention</w:t>
      </w:r>
      <w:r w:rsidRPr="0056321E">
        <w:rPr>
          <w:rFonts w:ascii="Times New Roman" w:hAnsi="Times New Roman" w:cs="Times New Roman"/>
          <w:color w:val="222222"/>
          <w:sz w:val="24"/>
          <w:szCs w:val="24"/>
          <w:lang w:val="en"/>
        </w:rPr>
        <w:t xml:space="preserve"> provided by the Antigone association refer that “</w:t>
      </w:r>
      <w:r w:rsidRPr="0056321E">
        <w:rPr>
          <w:rFonts w:ascii="Times New Roman" w:hAnsi="Times New Roman" w:cs="Times New Roman"/>
          <w:sz w:val="24"/>
          <w:szCs w:val="24"/>
          <w:lang w:val="en"/>
        </w:rPr>
        <w:t xml:space="preserve">As far as work activities are concerned, there are 840 working prisoners at 30 June 2016, of which 356 are foreign. If it is true that female workers represent around 37% of prisoners compared to a </w:t>
      </w:r>
      <w:r w:rsidRPr="0056321E">
        <w:rPr>
          <w:rFonts w:ascii="Times New Roman" w:hAnsi="Times New Roman" w:cs="Times New Roman"/>
          <w:sz w:val="24"/>
          <w:szCs w:val="24"/>
          <w:lang w:val="en"/>
        </w:rPr>
        <w:lastRenderedPageBreak/>
        <w:t>national average of 28%, it is also true that a large majority are exclusively employed in school services, such as cleaning workers and cook help (73.6% inmates employed by the prison administration). The remaining 26.4% of the workers are divided between workers in the institution on behalf of companies, externally pursuant to art. 21 and semi-free for external employers.”</w:t>
      </w:r>
      <w:r w:rsidRPr="0056321E">
        <w:rPr>
          <w:rFonts w:ascii="Times New Roman" w:hAnsi="Times New Roman" w:cs="Times New Roman"/>
          <w:color w:val="222222"/>
          <w:sz w:val="24"/>
          <w:szCs w:val="24"/>
          <w:lang w:val="en"/>
        </w:rPr>
        <w:t xml:space="preserve">(Giulia </w:t>
      </w:r>
      <w:proofErr w:type="spellStart"/>
      <w:r w:rsidRPr="0056321E">
        <w:rPr>
          <w:rFonts w:ascii="Times New Roman" w:hAnsi="Times New Roman" w:cs="Times New Roman"/>
          <w:color w:val="222222"/>
          <w:sz w:val="24"/>
          <w:szCs w:val="24"/>
          <w:lang w:val="en"/>
        </w:rPr>
        <w:t>Fabini</w:t>
      </w:r>
      <w:proofErr w:type="spellEnd"/>
      <w:r w:rsidRPr="0056321E">
        <w:rPr>
          <w:rFonts w:ascii="Times New Roman" w:hAnsi="Times New Roman" w:cs="Times New Roman"/>
          <w:color w:val="222222"/>
          <w:sz w:val="24"/>
          <w:szCs w:val="24"/>
          <w:lang w:val="en"/>
        </w:rPr>
        <w:t>, 2016)</w:t>
      </w:r>
    </w:p>
    <w:p w:rsidR="00705693" w:rsidRPr="0056321E" w:rsidRDefault="0067438F" w:rsidP="0056321E">
      <w:pPr>
        <w:spacing w:line="360" w:lineRule="auto"/>
        <w:ind w:right="-7"/>
        <w:jc w:val="both"/>
        <w:rPr>
          <w:rFonts w:ascii="Times New Roman" w:eastAsia="Times New Roman" w:hAnsi="Times New Roman" w:cs="Times New Roman"/>
          <w:color w:val="222222"/>
          <w:shd w:val="clear" w:color="auto" w:fill="F8F9FA"/>
          <w:lang w:val="en-US" w:eastAsia="it-IT"/>
        </w:rPr>
      </w:pPr>
      <w:r w:rsidRPr="0056321E">
        <w:rPr>
          <w:rFonts w:ascii="Times New Roman" w:eastAsia="Courier New" w:hAnsi="Times New Roman" w:cs="Times New Roman"/>
          <w:kern w:val="1"/>
          <w:lang w:val="en" w:eastAsia="hi-IN" w:bidi="hi-IN"/>
        </w:rPr>
        <w:t>In according to the questionnaire share</w:t>
      </w:r>
      <w:r w:rsidR="0012007C" w:rsidRPr="0056321E">
        <w:rPr>
          <w:rFonts w:ascii="Times New Roman" w:eastAsia="Courier New" w:hAnsi="Times New Roman" w:cs="Times New Roman"/>
          <w:kern w:val="1"/>
          <w:lang w:val="en" w:eastAsia="hi-IN" w:bidi="hi-IN"/>
        </w:rPr>
        <w:t>s</w:t>
      </w:r>
      <w:r w:rsidRPr="0056321E">
        <w:rPr>
          <w:rFonts w:ascii="Times New Roman" w:eastAsia="Courier New" w:hAnsi="Times New Roman" w:cs="Times New Roman"/>
          <w:kern w:val="1"/>
          <w:lang w:val="en" w:eastAsia="hi-IN" w:bidi="hi-IN"/>
        </w:rPr>
        <w:t xml:space="preserve"> among national stakeholders, professionals and companies that work with prison institutions and experts in the field of entrepreneurship, </w:t>
      </w:r>
      <w:r w:rsidR="00C04245" w:rsidRPr="0056321E">
        <w:rPr>
          <w:rFonts w:ascii="Times New Roman" w:eastAsia="Courier New" w:hAnsi="Times New Roman" w:cs="Times New Roman"/>
          <w:kern w:val="1"/>
          <w:lang w:val="en" w:eastAsia="hi-IN" w:bidi="hi-IN"/>
        </w:rPr>
        <w:t xml:space="preserve">we know  that in Italy it is very difficult to find prisoners who have started an entrepreneurial activity (7 cases out of the 56 questionnaires collected). </w:t>
      </w:r>
      <w:r w:rsidR="004F1267" w:rsidRPr="0056321E">
        <w:rPr>
          <w:rFonts w:ascii="Times New Roman" w:eastAsia="Courier New" w:hAnsi="Times New Roman" w:cs="Times New Roman"/>
          <w:kern w:val="1"/>
          <w:lang w:val="en" w:eastAsia="hi-IN" w:bidi="hi-IN"/>
        </w:rPr>
        <w:t>T</w:t>
      </w:r>
      <w:r w:rsidR="00C04245" w:rsidRPr="0056321E">
        <w:rPr>
          <w:rFonts w:ascii="Times New Roman" w:eastAsia="Courier New" w:hAnsi="Times New Roman" w:cs="Times New Roman"/>
          <w:kern w:val="1"/>
          <w:lang w:val="en" w:eastAsia="hi-IN" w:bidi="hi-IN"/>
        </w:rPr>
        <w:t xml:space="preserve">he focus group </w:t>
      </w:r>
      <w:r w:rsidR="0012007C" w:rsidRPr="0056321E">
        <w:rPr>
          <w:rFonts w:ascii="Times New Roman" w:eastAsia="Courier New" w:hAnsi="Times New Roman" w:cs="Times New Roman"/>
          <w:kern w:val="1"/>
          <w:lang w:val="en" w:eastAsia="hi-IN" w:bidi="hi-IN"/>
        </w:rPr>
        <w:t xml:space="preserve">furthermore </w:t>
      </w:r>
      <w:r w:rsidR="00C04245" w:rsidRPr="0056321E">
        <w:rPr>
          <w:rFonts w:ascii="Times New Roman" w:eastAsia="Courier New" w:hAnsi="Times New Roman" w:cs="Times New Roman"/>
          <w:kern w:val="1"/>
          <w:lang w:val="en" w:eastAsia="hi-IN" w:bidi="hi-IN"/>
        </w:rPr>
        <w:t>decl</w:t>
      </w:r>
      <w:r w:rsidR="0012007C" w:rsidRPr="0056321E">
        <w:rPr>
          <w:rFonts w:ascii="Times New Roman" w:eastAsia="Courier New" w:hAnsi="Times New Roman" w:cs="Times New Roman"/>
          <w:kern w:val="1"/>
          <w:lang w:val="en" w:eastAsia="hi-IN" w:bidi="hi-IN"/>
        </w:rPr>
        <w:t>a</w:t>
      </w:r>
      <w:r w:rsidR="00C04245" w:rsidRPr="0056321E">
        <w:rPr>
          <w:rFonts w:ascii="Times New Roman" w:eastAsia="Courier New" w:hAnsi="Times New Roman" w:cs="Times New Roman"/>
          <w:kern w:val="1"/>
          <w:lang w:val="en" w:eastAsia="hi-IN" w:bidi="hi-IN"/>
        </w:rPr>
        <w:t>re</w:t>
      </w:r>
      <w:r w:rsidR="0012007C" w:rsidRPr="0056321E">
        <w:rPr>
          <w:rFonts w:ascii="Times New Roman" w:eastAsia="Courier New" w:hAnsi="Times New Roman" w:cs="Times New Roman"/>
          <w:kern w:val="1"/>
          <w:lang w:val="en" w:eastAsia="hi-IN" w:bidi="hi-IN"/>
        </w:rPr>
        <w:t>s</w:t>
      </w:r>
      <w:r w:rsidR="00C04245" w:rsidRPr="0056321E">
        <w:rPr>
          <w:rFonts w:ascii="Times New Roman" w:eastAsia="Courier New" w:hAnsi="Times New Roman" w:cs="Times New Roman"/>
          <w:kern w:val="1"/>
          <w:lang w:val="en" w:eastAsia="hi-IN" w:bidi="hi-IN"/>
        </w:rPr>
        <w:t xml:space="preserve"> the inmates were small entrepreneurs, or anyway had some skills about the topic. </w:t>
      </w:r>
      <w:r w:rsidR="004F1267" w:rsidRPr="0056321E">
        <w:rPr>
          <w:rFonts w:ascii="Times New Roman" w:eastAsia="Courier New" w:hAnsi="Times New Roman" w:cs="Times New Roman"/>
          <w:kern w:val="1"/>
          <w:lang w:val="en" w:eastAsia="hi-IN" w:bidi="hi-IN"/>
        </w:rPr>
        <w:t>T</w:t>
      </w:r>
      <w:r w:rsidR="00C04245" w:rsidRPr="0056321E">
        <w:rPr>
          <w:rFonts w:ascii="Times New Roman" w:eastAsia="Courier New" w:hAnsi="Times New Roman" w:cs="Times New Roman"/>
          <w:kern w:val="1"/>
          <w:lang w:val="en" w:eastAsia="hi-IN" w:bidi="hi-IN"/>
        </w:rPr>
        <w:t>he</w:t>
      </w:r>
      <w:r w:rsidR="000575ED" w:rsidRPr="0056321E">
        <w:rPr>
          <w:rFonts w:ascii="Times New Roman" w:eastAsia="Courier New" w:hAnsi="Times New Roman" w:cs="Times New Roman"/>
          <w:kern w:val="1"/>
          <w:lang w:val="en" w:eastAsia="hi-IN" w:bidi="hi-IN"/>
        </w:rPr>
        <w:t xml:space="preserve"> female prisoners</w:t>
      </w:r>
      <w:r w:rsidR="00C04245" w:rsidRPr="0056321E">
        <w:rPr>
          <w:rFonts w:ascii="Times New Roman" w:eastAsia="Courier New" w:hAnsi="Times New Roman" w:cs="Times New Roman"/>
          <w:kern w:val="1"/>
          <w:lang w:val="en" w:eastAsia="hi-IN" w:bidi="hi-IN"/>
        </w:rPr>
        <w:t xml:space="preserve"> are in majority Roma women. They have no level of schooling, or anyway very low, and </w:t>
      </w:r>
      <w:r w:rsidR="0012007C" w:rsidRPr="0056321E">
        <w:rPr>
          <w:rFonts w:ascii="Times New Roman" w:eastAsia="Courier New" w:hAnsi="Times New Roman" w:cs="Times New Roman"/>
          <w:kern w:val="1"/>
          <w:lang w:val="en" w:eastAsia="hi-IN" w:bidi="hi-IN"/>
        </w:rPr>
        <w:t>moreover</w:t>
      </w:r>
      <w:r w:rsidR="00C04245" w:rsidRPr="0056321E">
        <w:rPr>
          <w:rFonts w:ascii="Times New Roman" w:eastAsia="Courier New" w:hAnsi="Times New Roman" w:cs="Times New Roman"/>
          <w:kern w:val="1"/>
          <w:lang w:val="en" w:eastAsia="hi-IN" w:bidi="hi-IN"/>
        </w:rPr>
        <w:t xml:space="preserve"> they are not used to work. Th</w:t>
      </w:r>
      <w:r w:rsidR="00C96620">
        <w:rPr>
          <w:rFonts w:ascii="Times New Roman" w:eastAsia="Courier New" w:hAnsi="Times New Roman" w:cs="Times New Roman"/>
          <w:kern w:val="1"/>
          <w:lang w:val="en" w:eastAsia="hi-IN" w:bidi="hi-IN"/>
        </w:rPr>
        <w:t>is</w:t>
      </w:r>
      <w:r w:rsidR="00C04245" w:rsidRPr="0056321E">
        <w:rPr>
          <w:rFonts w:ascii="Times New Roman" w:eastAsia="Courier New" w:hAnsi="Times New Roman" w:cs="Times New Roman"/>
          <w:kern w:val="1"/>
          <w:lang w:val="en" w:eastAsia="hi-IN" w:bidi="hi-IN"/>
        </w:rPr>
        <w:t xml:space="preserve"> means they face three level of discriminations: social condition, gender discrimination and </w:t>
      </w:r>
      <w:r w:rsidR="00BA1A55" w:rsidRPr="0056321E">
        <w:rPr>
          <w:rFonts w:ascii="Times New Roman" w:eastAsia="Courier New" w:hAnsi="Times New Roman" w:cs="Times New Roman"/>
          <w:kern w:val="1"/>
          <w:lang w:val="en" w:eastAsia="hi-IN" w:bidi="hi-IN"/>
        </w:rPr>
        <w:t>racism.</w:t>
      </w:r>
      <w:r w:rsidR="00BA1A55" w:rsidRPr="0056321E">
        <w:rPr>
          <w:rFonts w:ascii="Times New Roman" w:hAnsi="Times New Roman" w:cs="Times New Roman"/>
          <w:color w:val="222222"/>
          <w:lang w:val="en"/>
        </w:rPr>
        <w:t xml:space="preserve"> </w:t>
      </w:r>
      <w:r w:rsidR="00705693" w:rsidRPr="0056321E">
        <w:rPr>
          <w:rFonts w:ascii="Times New Roman" w:eastAsia="Times New Roman" w:hAnsi="Times New Roman" w:cs="Times New Roman"/>
          <w:color w:val="222222"/>
          <w:shd w:val="clear" w:color="auto" w:fill="F8F9FA"/>
          <w:lang w:val="en-US" w:eastAsia="it-IT"/>
        </w:rPr>
        <w:t xml:space="preserve">32 out of 54 respondents believe that women's difficulties to get finding are due to a factor of gender discrimination and that ex-prisoners women have the right to greater protections and opportunities. 87% believe that inmates suffer from double or triple discrimination in addition to gender discrimination, linked to their particular social condition. Moving in policies to contrast the widespread prejudice towards people who leave prison reflects the main objective of the Pal project Women. </w:t>
      </w:r>
    </w:p>
    <w:p w:rsidR="00C04245" w:rsidRPr="0056321E" w:rsidRDefault="00BA1A55" w:rsidP="0056321E">
      <w:pPr>
        <w:tabs>
          <w:tab w:val="left" w:pos="8789"/>
        </w:tabs>
        <w:spacing w:line="360" w:lineRule="auto"/>
        <w:ind w:right="-7"/>
        <w:rPr>
          <w:rFonts w:ascii="TimesNewRoman" w:hAnsi="TimesNewRoman" w:cs="TimesNewRoman"/>
          <w:color w:val="333333"/>
          <w:lang w:val="en"/>
        </w:rPr>
      </w:pPr>
      <w:r w:rsidRPr="0056321E">
        <w:rPr>
          <w:rFonts w:ascii="Times New Roman" w:hAnsi="Times New Roman" w:cs="Times New Roman"/>
          <w:color w:val="222222"/>
          <w:lang w:val="en"/>
        </w:rPr>
        <w:t>Overall  it turned out that w</w:t>
      </w:r>
      <w:r w:rsidRPr="0056321E">
        <w:rPr>
          <w:rFonts w:ascii="TimesNewRoman" w:hAnsi="TimesNewRoman" w:cs="TimesNewRoman"/>
          <w:color w:val="333333"/>
          <w:lang w:val="en"/>
        </w:rPr>
        <w:t xml:space="preserve">omen ex-prisoners share personal and social needs with many women who have not committed crimes and from this gender mainstreaming measures must be designed. Maternity, situations of lone-parent family, women’s situation in the </w:t>
      </w:r>
      <w:r w:rsidR="006119F9">
        <w:rPr>
          <w:rFonts w:ascii="TimesNewRoman" w:hAnsi="TimesNewRoman" w:cs="TimesNewRoman"/>
          <w:color w:val="333333"/>
          <w:lang w:val="en"/>
        </w:rPr>
        <w:t xml:space="preserve">work </w:t>
      </w:r>
      <w:r w:rsidRPr="0056321E">
        <w:rPr>
          <w:rFonts w:ascii="TimesNewRoman" w:hAnsi="TimesNewRoman" w:cs="TimesNewRoman"/>
          <w:color w:val="333333"/>
          <w:lang w:val="en"/>
        </w:rPr>
        <w:t>market, the domestic violence, differences in the use of drugs and their consequences, the social role that women are supposed to develop, differences in social and family support that women receive, the responsibilities that they have, prostitution, etc., all of these aspects that, among many others, configure a reality and different needs due to gender, and demand responses based on gender mainstreaming. The women in prison accumulate disadvantages of class, gender and, in many cases, of ethnicity and nationality</w:t>
      </w:r>
      <w:r w:rsidR="0012007C" w:rsidRPr="0056321E">
        <w:rPr>
          <w:rFonts w:ascii="TimesNewRoman" w:hAnsi="TimesNewRoman" w:cs="TimesNewRoman"/>
          <w:color w:val="333333"/>
          <w:lang w:val="en"/>
        </w:rPr>
        <w:t>.</w:t>
      </w:r>
    </w:p>
    <w:p w:rsidR="000575ED" w:rsidRPr="0056321E" w:rsidRDefault="000575ED" w:rsidP="0056321E">
      <w:pPr>
        <w:tabs>
          <w:tab w:val="left" w:pos="8789"/>
        </w:tabs>
        <w:spacing w:line="360" w:lineRule="auto"/>
        <w:ind w:right="-7"/>
        <w:rPr>
          <w:rFonts w:ascii="TimesNewRoman" w:hAnsi="TimesNewRoman" w:cs="TimesNewRoman"/>
          <w:color w:val="333333"/>
          <w:lang w:val="en-US"/>
        </w:rPr>
      </w:pPr>
    </w:p>
    <w:p w:rsidR="005049F5" w:rsidRPr="006119F9" w:rsidRDefault="0012007C" w:rsidP="0056321E">
      <w:pPr>
        <w:spacing w:line="360" w:lineRule="auto"/>
        <w:ind w:right="-7"/>
        <w:jc w:val="both"/>
        <w:rPr>
          <w:rFonts w:ascii="Times" w:hAnsi="Times" w:cs="Calibri"/>
          <w:b/>
          <w:bCs/>
          <w:lang w:val="en-GB"/>
        </w:rPr>
      </w:pPr>
      <w:r w:rsidRPr="0056321E">
        <w:rPr>
          <w:rFonts w:ascii="TimesNewRoman" w:hAnsi="TimesNewRoman" w:cs="TimesNewRoman"/>
          <w:color w:val="333333"/>
          <w:lang w:val="en"/>
        </w:rPr>
        <w:t xml:space="preserve">The report on the social condition of prisoners in Italy </w:t>
      </w:r>
      <w:r w:rsidR="00C96620">
        <w:rPr>
          <w:rFonts w:ascii="TimesNewRoman" w:hAnsi="TimesNewRoman" w:cs="TimesNewRoman"/>
          <w:color w:val="333333"/>
          <w:lang w:val="en"/>
        </w:rPr>
        <w:t>highlights</w:t>
      </w:r>
      <w:r w:rsidRPr="0056321E">
        <w:rPr>
          <w:rFonts w:ascii="TimesNewRoman" w:hAnsi="TimesNewRoman" w:cs="TimesNewRoman"/>
          <w:color w:val="333333"/>
          <w:lang w:val="en"/>
        </w:rPr>
        <w:t xml:space="preserve"> the low school level, strongly reiterated by the interviewees who denounce an absence of specific general skills and suggest educating former women prisoners in starting a business with a program of training and awareness-raising activities on corporate culture already in prison structures</w:t>
      </w:r>
      <w:r w:rsidR="00C96620">
        <w:rPr>
          <w:rFonts w:ascii="TimesNewRoman" w:hAnsi="TimesNewRoman" w:cs="TimesNewRoman"/>
          <w:color w:val="333333"/>
          <w:lang w:val="en"/>
        </w:rPr>
        <w:t>.</w:t>
      </w:r>
      <w:r w:rsidRPr="0056321E">
        <w:rPr>
          <w:rFonts w:ascii="TimesNewRoman" w:hAnsi="TimesNewRoman" w:cs="TimesNewRoman"/>
          <w:color w:val="333333"/>
          <w:lang w:val="en"/>
        </w:rPr>
        <w:t xml:space="preserve"> </w:t>
      </w:r>
      <w:r w:rsidR="005049F5" w:rsidRPr="006119F9">
        <w:rPr>
          <w:rFonts w:ascii="Times" w:hAnsi="Times" w:cs="Calibri"/>
          <w:bCs/>
          <w:color w:val="222222"/>
          <w:lang w:val="en-GB"/>
        </w:rPr>
        <w:t>A desirable outcome would be a learni</w:t>
      </w:r>
      <w:r w:rsidR="0056321E" w:rsidRPr="006119F9">
        <w:rPr>
          <w:rFonts w:ascii="Times" w:hAnsi="Times" w:cs="Calibri"/>
          <w:bCs/>
          <w:color w:val="222222"/>
          <w:lang w:val="en-GB"/>
        </w:rPr>
        <w:t>n</w:t>
      </w:r>
      <w:r w:rsidR="005049F5" w:rsidRPr="006119F9">
        <w:rPr>
          <w:rFonts w:ascii="Times" w:hAnsi="Times" w:cs="Calibri"/>
          <w:bCs/>
          <w:color w:val="222222"/>
          <w:lang w:val="en-GB"/>
        </w:rPr>
        <w:t xml:space="preserve">g </w:t>
      </w:r>
      <w:r w:rsidR="0056321E" w:rsidRPr="006119F9">
        <w:rPr>
          <w:rFonts w:ascii="Times" w:hAnsi="Times" w:cs="Calibri"/>
          <w:bCs/>
          <w:color w:val="222222"/>
          <w:lang w:val="en-GB"/>
        </w:rPr>
        <w:t>and</w:t>
      </w:r>
      <w:r w:rsidR="005049F5" w:rsidRPr="006119F9">
        <w:rPr>
          <w:rFonts w:ascii="Times" w:hAnsi="Times" w:cs="Calibri"/>
          <w:bCs/>
          <w:color w:val="222222"/>
          <w:lang w:val="en-GB"/>
        </w:rPr>
        <w:t xml:space="preserve"> </w:t>
      </w:r>
      <w:r w:rsidR="0056321E" w:rsidRPr="006119F9">
        <w:rPr>
          <w:rFonts w:ascii="Times" w:hAnsi="Times" w:cs="Calibri"/>
          <w:bCs/>
          <w:color w:val="222222"/>
          <w:lang w:val="en-GB"/>
        </w:rPr>
        <w:t xml:space="preserve">educational path with a </w:t>
      </w:r>
      <w:r w:rsidR="005049F5" w:rsidRPr="006119F9">
        <w:rPr>
          <w:rFonts w:ascii="Times" w:hAnsi="Times" w:cs="Calibri"/>
          <w:bCs/>
          <w:color w:val="222222"/>
          <w:lang w:val="en-GB"/>
        </w:rPr>
        <w:t>phase of orientation and the subsequent phase of accompanying the enterprise lasting over time</w:t>
      </w:r>
      <w:r w:rsidR="0056321E" w:rsidRPr="006119F9">
        <w:rPr>
          <w:rFonts w:ascii="Times" w:hAnsi="Times" w:cs="Calibri"/>
          <w:bCs/>
          <w:color w:val="222222"/>
          <w:lang w:val="en-GB"/>
        </w:rPr>
        <w:t xml:space="preserve"> put togethe</w:t>
      </w:r>
      <w:r w:rsidR="00776B50" w:rsidRPr="006119F9">
        <w:rPr>
          <w:rFonts w:ascii="Times" w:hAnsi="Times" w:cs="Calibri"/>
          <w:bCs/>
          <w:color w:val="222222"/>
          <w:lang w:val="en-GB"/>
        </w:rPr>
        <w:t>r.</w:t>
      </w:r>
    </w:p>
    <w:p w:rsidR="00E23F67" w:rsidRPr="0056321E" w:rsidRDefault="0012007C" w:rsidP="0056321E">
      <w:pPr>
        <w:pStyle w:val="Testopreformattato"/>
        <w:tabs>
          <w:tab w:val="left" w:pos="8789"/>
        </w:tabs>
        <w:spacing w:line="360" w:lineRule="auto"/>
        <w:ind w:right="-7"/>
        <w:jc w:val="both"/>
        <w:rPr>
          <w:rFonts w:ascii="Times New Roman" w:hAnsi="Times New Roman" w:cs="Times New Roman"/>
          <w:color w:val="222222"/>
          <w:sz w:val="24"/>
          <w:szCs w:val="24"/>
          <w:lang w:val="en"/>
        </w:rPr>
      </w:pPr>
      <w:r w:rsidRPr="0056321E">
        <w:rPr>
          <w:rFonts w:ascii="Times New Roman" w:hAnsi="Times New Roman" w:cs="Times New Roman"/>
          <w:color w:val="222222"/>
          <w:sz w:val="24"/>
          <w:szCs w:val="24"/>
          <w:lang w:val="en"/>
        </w:rPr>
        <w:lastRenderedPageBreak/>
        <w:t>The best activity to educate former prisoners woman is to develop public seminars and open workshop.</w:t>
      </w:r>
      <w:r w:rsidR="00E23F67" w:rsidRPr="0056321E">
        <w:rPr>
          <w:rFonts w:ascii="Times New Roman" w:hAnsi="Times New Roman" w:cs="Times New Roman"/>
          <w:color w:val="222222"/>
          <w:sz w:val="24"/>
          <w:szCs w:val="24"/>
          <w:lang w:val="en"/>
        </w:rPr>
        <w:t xml:space="preserve"> In the conference held in La Spezia with the title </w:t>
      </w:r>
      <w:r w:rsidR="00E23F67" w:rsidRPr="0056321E">
        <w:rPr>
          <w:rFonts w:ascii="Times New Roman" w:hAnsi="Times New Roman" w:cs="Times New Roman"/>
          <w:i/>
          <w:iCs/>
          <w:color w:val="222222"/>
          <w:sz w:val="24"/>
          <w:szCs w:val="24"/>
          <w:lang w:val="en"/>
        </w:rPr>
        <w:t>Education and training in penitentiary contexts: new actions and perspectives</w:t>
      </w:r>
      <w:r w:rsidR="00E23F67" w:rsidRPr="0056321E">
        <w:rPr>
          <w:rStyle w:val="Rimandonotaapidipagina"/>
          <w:rFonts w:ascii="Times New Roman" w:hAnsi="Times New Roman" w:cs="Times New Roman"/>
          <w:iCs/>
          <w:color w:val="222222"/>
          <w:sz w:val="24"/>
          <w:szCs w:val="24"/>
          <w:lang w:val="en"/>
        </w:rPr>
        <w:footnoteReference w:id="4"/>
      </w:r>
      <w:r w:rsidR="00E23F67" w:rsidRPr="0056321E">
        <w:rPr>
          <w:rFonts w:ascii="Times New Roman" w:hAnsi="Times New Roman" w:cs="Times New Roman"/>
          <w:color w:val="222222"/>
          <w:sz w:val="24"/>
          <w:szCs w:val="24"/>
          <w:lang w:val="en"/>
        </w:rPr>
        <w:t xml:space="preserve">, the importance of customize the training paths of prisoners based on a predetermined life plan, coordinating the actions of the various institutions, so that the prison period is not a useless period, was emphasized. For this purpose, a connection with the world of work is indispensable for future placement after the penalty and, for this reason, the training courses should also be aimed at acquiring certifications that can be spent at the end of the prison period. </w:t>
      </w:r>
      <w:bookmarkStart w:id="2" w:name="tw-target-text23"/>
      <w:bookmarkEnd w:id="2"/>
      <w:r w:rsidR="00E23F67" w:rsidRPr="0056321E">
        <w:rPr>
          <w:rFonts w:ascii="Times New Roman" w:hAnsi="Times New Roman" w:cs="Times New Roman"/>
          <w:color w:val="222222"/>
          <w:sz w:val="24"/>
          <w:szCs w:val="24"/>
          <w:lang w:val="en"/>
        </w:rPr>
        <w:t>Very often the activities that detainees carry out in prison are largely unprofessional, and it is difficult to build a reintegration path that allows the prisoner to carry out the activity he carried out in prison even outside.</w:t>
      </w:r>
      <w:r w:rsidR="000575ED" w:rsidRPr="0056321E">
        <w:rPr>
          <w:rFonts w:ascii="Times New Roman" w:hAnsi="Times New Roman" w:cs="Times New Roman"/>
          <w:color w:val="222222"/>
          <w:sz w:val="24"/>
          <w:szCs w:val="24"/>
          <w:lang w:val="en"/>
        </w:rPr>
        <w:t xml:space="preserve"> </w:t>
      </w:r>
      <w:r w:rsidR="00E23F67" w:rsidRPr="0056321E">
        <w:rPr>
          <w:rFonts w:ascii="Times New Roman" w:hAnsi="Times New Roman" w:cs="Times New Roman"/>
          <w:color w:val="222222"/>
          <w:sz w:val="24"/>
          <w:szCs w:val="24"/>
          <w:lang w:val="en"/>
        </w:rPr>
        <w:t>The analysis of the situation set out in the aforementioned article was confirmed during the focus group organized in Rome</w:t>
      </w:r>
      <w:r w:rsidR="004F1267" w:rsidRPr="0056321E">
        <w:rPr>
          <w:rFonts w:ascii="Times New Roman" w:hAnsi="Times New Roman" w:cs="Times New Roman"/>
          <w:color w:val="222222"/>
          <w:sz w:val="24"/>
          <w:szCs w:val="24"/>
          <w:lang w:val="en"/>
        </w:rPr>
        <w:t>.</w:t>
      </w:r>
    </w:p>
    <w:p w:rsidR="0012007C" w:rsidRPr="0056321E" w:rsidRDefault="00E23F67" w:rsidP="0056321E">
      <w:pPr>
        <w:pStyle w:val="PreformattatoHTML"/>
        <w:tabs>
          <w:tab w:val="left" w:pos="8789"/>
        </w:tabs>
        <w:spacing w:line="360" w:lineRule="auto"/>
        <w:ind w:right="-7"/>
        <w:jc w:val="both"/>
        <w:rPr>
          <w:rFonts w:ascii="Times New Roman" w:eastAsia="Courier New" w:hAnsi="Times New Roman" w:cs="Times New Roman"/>
          <w:color w:val="222222"/>
          <w:kern w:val="1"/>
          <w:sz w:val="24"/>
          <w:szCs w:val="24"/>
          <w:lang w:val="en" w:eastAsia="hi-IN" w:bidi="hi-IN"/>
        </w:rPr>
      </w:pPr>
      <w:r w:rsidRPr="0056321E">
        <w:rPr>
          <w:rFonts w:ascii="Times New Roman" w:eastAsia="Courier New" w:hAnsi="Times New Roman" w:cs="Times New Roman"/>
          <w:color w:val="222222"/>
          <w:kern w:val="1"/>
          <w:sz w:val="24"/>
          <w:szCs w:val="24"/>
          <w:lang w:val="en" w:eastAsia="hi-IN" w:bidi="hi-IN"/>
        </w:rPr>
        <w:t xml:space="preserve">Most of the detainees work for social cooperatives that have the labor inclusion of disadvantaged people in their mandate. These are cooperatives that benefit from particular benefits and tax relief, </w:t>
      </w:r>
      <w:r w:rsidR="00B769FF">
        <w:rPr>
          <w:rFonts w:ascii="Times New Roman" w:eastAsia="Courier New" w:hAnsi="Times New Roman" w:cs="Times New Roman"/>
          <w:color w:val="222222"/>
          <w:kern w:val="1"/>
          <w:sz w:val="24"/>
          <w:szCs w:val="24"/>
          <w:lang w:val="en" w:eastAsia="hi-IN" w:bidi="hi-IN"/>
        </w:rPr>
        <w:t xml:space="preserve">they are </w:t>
      </w:r>
      <w:r w:rsidRPr="0056321E">
        <w:rPr>
          <w:rFonts w:ascii="Times New Roman" w:eastAsia="Courier New" w:hAnsi="Times New Roman" w:cs="Times New Roman"/>
          <w:color w:val="222222"/>
          <w:kern w:val="1"/>
          <w:sz w:val="24"/>
          <w:szCs w:val="24"/>
          <w:lang w:val="en" w:eastAsia="hi-IN" w:bidi="hi-IN"/>
        </w:rPr>
        <w:t xml:space="preserve">born exactly with the aim of giving work to the categories of disadvantaged workers, and therefore predictably arrive where the </w:t>
      </w:r>
      <w:r w:rsidR="00B769FF">
        <w:rPr>
          <w:rFonts w:ascii="Times New Roman" w:eastAsia="Courier New" w:hAnsi="Times New Roman" w:cs="Times New Roman"/>
          <w:color w:val="222222"/>
          <w:kern w:val="1"/>
          <w:sz w:val="24"/>
          <w:szCs w:val="24"/>
          <w:lang w:val="en" w:eastAsia="hi-IN" w:bidi="hi-IN"/>
        </w:rPr>
        <w:t xml:space="preserve">profit </w:t>
      </w:r>
      <w:r w:rsidRPr="0056321E">
        <w:rPr>
          <w:rFonts w:ascii="Times New Roman" w:eastAsia="Courier New" w:hAnsi="Times New Roman" w:cs="Times New Roman"/>
          <w:color w:val="222222"/>
          <w:kern w:val="1"/>
          <w:sz w:val="24"/>
          <w:szCs w:val="24"/>
          <w:lang w:val="en" w:eastAsia="hi-IN" w:bidi="hi-IN"/>
        </w:rPr>
        <w:t>company has no interest</w:t>
      </w:r>
      <w:r w:rsidR="00B769FF">
        <w:rPr>
          <w:rFonts w:ascii="Times New Roman" w:eastAsia="Courier New" w:hAnsi="Times New Roman" w:cs="Times New Roman"/>
          <w:color w:val="222222"/>
          <w:kern w:val="1"/>
          <w:sz w:val="24"/>
          <w:szCs w:val="24"/>
          <w:lang w:val="en" w:eastAsia="hi-IN" w:bidi="hi-IN"/>
        </w:rPr>
        <w:t xml:space="preserve"> to hold</w:t>
      </w:r>
      <w:r w:rsidRPr="0056321E">
        <w:rPr>
          <w:rFonts w:ascii="Times New Roman" w:eastAsia="Courier New" w:hAnsi="Times New Roman" w:cs="Times New Roman"/>
          <w:color w:val="222222"/>
          <w:kern w:val="1"/>
          <w:sz w:val="24"/>
          <w:szCs w:val="24"/>
          <w:lang w:val="en" w:eastAsia="hi-IN" w:bidi="hi-IN"/>
        </w:rPr>
        <w:t>. In fact, prison work is hardly as productive as outside work. The organization is much more complex, being in prison poses various obstacles to business activities, and the workforce is generally less qualified and less "stable". As a result, traditional profit companies rarely bring branches of their businesses to jail.</w:t>
      </w:r>
    </w:p>
    <w:p w:rsidR="008A0B33" w:rsidRPr="0056321E" w:rsidRDefault="00E729A8" w:rsidP="0056321E">
      <w:pPr>
        <w:pStyle w:val="PreformattatoHTML"/>
        <w:tabs>
          <w:tab w:val="left" w:pos="8789"/>
        </w:tabs>
        <w:spacing w:line="360" w:lineRule="auto"/>
        <w:ind w:right="-7"/>
        <w:jc w:val="both"/>
        <w:rPr>
          <w:rFonts w:ascii="Times New Roman" w:hAnsi="Times New Roman" w:cs="Times New Roman"/>
          <w:color w:val="222222"/>
          <w:sz w:val="24"/>
          <w:szCs w:val="24"/>
          <w:lang w:val="en"/>
        </w:rPr>
      </w:pPr>
      <w:r w:rsidRPr="0056321E">
        <w:rPr>
          <w:rFonts w:ascii="Times New Roman" w:eastAsia="Courier New" w:hAnsi="Times New Roman" w:cs="Times New Roman"/>
          <w:kern w:val="1"/>
          <w:sz w:val="24"/>
          <w:szCs w:val="24"/>
          <w:lang w:val="en" w:eastAsia="hi-IN" w:bidi="hi-IN"/>
        </w:rPr>
        <w:t>Boosting female e</w:t>
      </w:r>
      <w:r w:rsidR="00E23F67" w:rsidRPr="0056321E">
        <w:rPr>
          <w:rFonts w:ascii="Times New Roman" w:eastAsia="Courier New" w:hAnsi="Times New Roman" w:cs="Times New Roman"/>
          <w:kern w:val="1"/>
          <w:sz w:val="24"/>
          <w:szCs w:val="24"/>
          <w:lang w:val="en" w:eastAsia="hi-IN" w:bidi="hi-IN"/>
        </w:rPr>
        <w:t>ntrepreneurshi</w:t>
      </w:r>
      <w:r w:rsidRPr="0056321E">
        <w:rPr>
          <w:rFonts w:ascii="Times New Roman" w:eastAsia="Courier New" w:hAnsi="Times New Roman" w:cs="Times New Roman"/>
          <w:kern w:val="1"/>
          <w:sz w:val="24"/>
          <w:szCs w:val="24"/>
          <w:lang w:val="en" w:eastAsia="hi-IN" w:bidi="hi-IN"/>
        </w:rPr>
        <w:t>p could be a chance of reintegration, but providing suitable support, training activity and communication of economic resources.</w:t>
      </w:r>
      <w:r w:rsidR="008A0B33" w:rsidRPr="0056321E">
        <w:rPr>
          <w:rFonts w:ascii="Calibri" w:hAnsi="Calibri"/>
          <w:sz w:val="24"/>
          <w:szCs w:val="24"/>
          <w:lang w:val="en-GB"/>
        </w:rPr>
        <w:t xml:space="preserve"> </w:t>
      </w:r>
      <w:r w:rsidR="008A0B33" w:rsidRPr="0056321E">
        <w:rPr>
          <w:rFonts w:ascii="Times New Roman" w:eastAsia="Courier New" w:hAnsi="Times New Roman" w:cs="Times New Roman"/>
          <w:kern w:val="1"/>
          <w:sz w:val="24"/>
          <w:szCs w:val="24"/>
          <w:lang w:val="en" w:eastAsia="hi-IN" w:bidi="hi-IN"/>
        </w:rPr>
        <w:t xml:space="preserve">Another problem is the fact that inmates, once the sentence has been served, are free but have still disputes with the justice system and they must pay the damages. That means that they have no access to the credit system, they risk the foreclosure or the seizure of goods etc. They prefer not to open a bank account and work in the black economy. </w:t>
      </w:r>
      <w:r w:rsidR="008A0B33" w:rsidRPr="0056321E">
        <w:rPr>
          <w:rFonts w:ascii="Times New Roman" w:hAnsi="Times New Roman" w:cs="Times New Roman"/>
          <w:color w:val="222222"/>
          <w:sz w:val="24"/>
          <w:szCs w:val="24"/>
          <w:lang w:val="en"/>
        </w:rPr>
        <w:t>Access to credit easier and suspension of bonds and accessory penalties that limit financial autonomy even after the sentence, are important social intervention that play for improving self</w:t>
      </w:r>
      <w:r w:rsidR="006119F9">
        <w:rPr>
          <w:rFonts w:ascii="Times New Roman" w:hAnsi="Times New Roman" w:cs="Times New Roman"/>
          <w:color w:val="222222"/>
          <w:sz w:val="24"/>
          <w:szCs w:val="24"/>
          <w:lang w:val="en"/>
        </w:rPr>
        <w:t>-</w:t>
      </w:r>
      <w:r w:rsidR="008A0B33" w:rsidRPr="0056321E">
        <w:rPr>
          <w:rFonts w:ascii="Times New Roman" w:hAnsi="Times New Roman" w:cs="Times New Roman"/>
          <w:color w:val="222222"/>
          <w:sz w:val="24"/>
          <w:szCs w:val="24"/>
          <w:lang w:val="en"/>
        </w:rPr>
        <w:t>employment.</w:t>
      </w:r>
    </w:p>
    <w:p w:rsidR="008A0B33" w:rsidRPr="0056321E" w:rsidRDefault="008A0B33" w:rsidP="0056321E">
      <w:pPr>
        <w:pStyle w:val="PreformattatoHTML"/>
        <w:tabs>
          <w:tab w:val="left" w:pos="8789"/>
        </w:tabs>
        <w:spacing w:line="360" w:lineRule="auto"/>
        <w:ind w:right="-7"/>
        <w:jc w:val="both"/>
        <w:rPr>
          <w:rFonts w:ascii="Times New Roman" w:hAnsi="Times New Roman" w:cs="Times New Roman"/>
          <w:color w:val="222222"/>
          <w:sz w:val="24"/>
          <w:szCs w:val="24"/>
          <w:lang w:val="en"/>
        </w:rPr>
      </w:pPr>
      <w:r w:rsidRPr="0056321E">
        <w:rPr>
          <w:rFonts w:ascii="Times New Roman" w:hAnsi="Times New Roman" w:cs="Times New Roman"/>
          <w:color w:val="222222"/>
          <w:sz w:val="24"/>
          <w:szCs w:val="24"/>
          <w:lang w:val="en"/>
        </w:rPr>
        <w:t>Increasing basic knowledge at a financial level and knowing the already existing specific support measures for ex-prisoners are a priority set out among the skills necessary to be able to start one's own business.</w:t>
      </w:r>
      <w:r w:rsidR="0056321E" w:rsidRPr="0056321E">
        <w:rPr>
          <w:rFonts w:ascii="Times New Roman" w:hAnsi="Times New Roman" w:cs="Times New Roman"/>
          <w:color w:val="222222"/>
          <w:sz w:val="24"/>
          <w:szCs w:val="24"/>
          <w:lang w:val="en"/>
        </w:rPr>
        <w:t xml:space="preserve"> </w:t>
      </w:r>
      <w:r w:rsidR="0056321E" w:rsidRPr="0056321E">
        <w:rPr>
          <w:rFonts w:ascii="TimesNewRoman" w:eastAsiaTheme="minorHAnsi" w:hAnsi="TimesNewRoman" w:cs="TimesNewRoman"/>
          <w:color w:val="333333"/>
          <w:sz w:val="24"/>
          <w:szCs w:val="24"/>
          <w:lang w:val="en" w:eastAsia="en-US"/>
        </w:rPr>
        <w:t>Developing</w:t>
      </w:r>
      <w:r w:rsidR="0056321E" w:rsidRPr="0056321E">
        <w:rPr>
          <w:rFonts w:ascii="Times New Roman" w:hAnsi="Times New Roman" w:cs="Times New Roman"/>
          <w:color w:val="222222"/>
          <w:sz w:val="24"/>
          <w:szCs w:val="24"/>
          <w:lang w:val="en"/>
        </w:rPr>
        <w:t xml:space="preserve"> intervention policies that improve their opportunities to create businesses is at the forefront of the aid provided to encourage their entry into the world of work.</w:t>
      </w:r>
    </w:p>
    <w:p w:rsidR="008A0B33" w:rsidRPr="0056321E" w:rsidRDefault="000575ED" w:rsidP="0056321E">
      <w:pPr>
        <w:pStyle w:val="PreformattatoHTML"/>
        <w:tabs>
          <w:tab w:val="left" w:pos="8789"/>
        </w:tabs>
        <w:spacing w:line="360" w:lineRule="auto"/>
        <w:ind w:right="-7"/>
        <w:jc w:val="both"/>
        <w:rPr>
          <w:rFonts w:ascii="Times New Roman" w:hAnsi="Times New Roman" w:cs="Times New Roman"/>
          <w:color w:val="222222"/>
          <w:sz w:val="24"/>
          <w:szCs w:val="24"/>
          <w:lang w:val="en"/>
        </w:rPr>
      </w:pPr>
      <w:r w:rsidRPr="0056321E">
        <w:rPr>
          <w:rFonts w:ascii="Times New Roman" w:hAnsi="Times New Roman" w:cs="Times New Roman"/>
          <w:color w:val="222222"/>
          <w:sz w:val="24"/>
          <w:szCs w:val="24"/>
          <w:lang w:val="en"/>
        </w:rPr>
        <w:lastRenderedPageBreak/>
        <w:t>Finally, a</w:t>
      </w:r>
      <w:r w:rsidR="008A0B33" w:rsidRPr="0056321E">
        <w:rPr>
          <w:rFonts w:ascii="Times New Roman" w:hAnsi="Times New Roman" w:cs="Times New Roman"/>
          <w:color w:val="222222"/>
          <w:sz w:val="24"/>
          <w:szCs w:val="24"/>
          <w:lang w:val="en"/>
        </w:rPr>
        <w:t xml:space="preserve">ny training activity should considerer at the same time subject dealt with planning and time managing, marketing business, branding, communication and networking to emphasize natural skills like problem solving, creativity, emotional intelligence, critical decision making, cognitive flexibility. </w:t>
      </w:r>
    </w:p>
    <w:p w:rsidR="008A0B33" w:rsidRPr="0056321E" w:rsidRDefault="008A0B33" w:rsidP="0056321E">
      <w:pPr>
        <w:tabs>
          <w:tab w:val="left" w:pos="4253"/>
        </w:tabs>
        <w:spacing w:line="360" w:lineRule="auto"/>
        <w:ind w:right="-7"/>
        <w:jc w:val="both"/>
        <w:rPr>
          <w:rFonts w:ascii="Times New Roman" w:eastAsia="Times New Roman" w:hAnsi="Times New Roman" w:cs="Times New Roman"/>
          <w:color w:val="222222"/>
          <w:lang w:val="en" w:eastAsia="it-IT"/>
        </w:rPr>
      </w:pPr>
      <w:r w:rsidRPr="0056321E">
        <w:rPr>
          <w:rFonts w:ascii="Times New Roman" w:eastAsia="Times New Roman" w:hAnsi="Times New Roman" w:cs="Times New Roman"/>
          <w:color w:val="222222"/>
          <w:lang w:val="en" w:eastAsia="it-IT"/>
        </w:rPr>
        <w:t>The quality most appreciated seems to be Persistence. This mean how much is important giving tools but mostly encouraging soft skill to start entrepreneu</w:t>
      </w:r>
      <w:r w:rsidR="006119F9">
        <w:rPr>
          <w:rFonts w:ascii="Times New Roman" w:eastAsia="Times New Roman" w:hAnsi="Times New Roman" w:cs="Times New Roman"/>
          <w:color w:val="222222"/>
          <w:lang w:val="en" w:eastAsia="it-IT"/>
        </w:rPr>
        <w:t>r</w:t>
      </w:r>
      <w:r w:rsidRPr="0056321E">
        <w:rPr>
          <w:rFonts w:ascii="Times New Roman" w:eastAsia="Times New Roman" w:hAnsi="Times New Roman" w:cs="Times New Roman"/>
          <w:color w:val="222222"/>
          <w:lang w:val="en" w:eastAsia="it-IT"/>
        </w:rPr>
        <w:t xml:space="preserve">ship. </w:t>
      </w:r>
    </w:p>
    <w:p w:rsidR="008A0B33" w:rsidRPr="0056321E" w:rsidRDefault="008A0B33" w:rsidP="0056321E">
      <w:pPr>
        <w:pStyle w:val="PreformattatoHTML"/>
        <w:tabs>
          <w:tab w:val="left" w:pos="8789"/>
        </w:tabs>
        <w:spacing w:line="360" w:lineRule="auto"/>
        <w:ind w:right="-7"/>
        <w:jc w:val="center"/>
        <w:rPr>
          <w:rFonts w:ascii="Times New Roman" w:hAnsi="Times New Roman" w:cs="Times New Roman"/>
          <w:color w:val="222222"/>
          <w:sz w:val="24"/>
          <w:szCs w:val="24"/>
          <w:lang w:val="en"/>
        </w:rPr>
      </w:pPr>
      <w:r w:rsidRPr="0056321E">
        <w:rPr>
          <w:rFonts w:ascii="Times New Roman" w:hAnsi="Times New Roman" w:cs="Times New Roman"/>
          <w:noProof/>
          <w:color w:val="222222"/>
          <w:sz w:val="24"/>
          <w:szCs w:val="24"/>
          <w:lang w:val="en"/>
        </w:rPr>
        <w:drawing>
          <wp:inline distT="0" distB="0" distL="0" distR="0" wp14:anchorId="71F7FAB1" wp14:editId="51593AAE">
            <wp:extent cx="5486400" cy="3200400"/>
            <wp:effectExtent l="0" t="0" r="12700" b="12700"/>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A0B33" w:rsidRPr="0056321E" w:rsidRDefault="008A0B33" w:rsidP="0056321E">
      <w:pPr>
        <w:pStyle w:val="PreformattatoHTML"/>
        <w:tabs>
          <w:tab w:val="left" w:pos="8789"/>
        </w:tabs>
        <w:spacing w:line="360" w:lineRule="auto"/>
        <w:ind w:right="-7"/>
        <w:jc w:val="both"/>
        <w:rPr>
          <w:rFonts w:ascii="Times New Roman" w:hAnsi="Times New Roman" w:cs="Times New Roman"/>
          <w:color w:val="222222"/>
          <w:sz w:val="24"/>
          <w:szCs w:val="24"/>
          <w:lang w:val="en"/>
        </w:rPr>
      </w:pPr>
    </w:p>
    <w:p w:rsidR="00705693" w:rsidRPr="0056321E" w:rsidRDefault="00705693" w:rsidP="0056321E">
      <w:pPr>
        <w:spacing w:line="360" w:lineRule="auto"/>
        <w:ind w:right="-7"/>
        <w:jc w:val="both"/>
        <w:rPr>
          <w:rFonts w:ascii="Times New Roman" w:eastAsia="Times New Roman" w:hAnsi="Times New Roman" w:cs="Times New Roman"/>
          <w:color w:val="222222"/>
          <w:shd w:val="clear" w:color="auto" w:fill="F8F9FA"/>
          <w:lang w:val="en-US" w:eastAsia="it-IT"/>
        </w:rPr>
      </w:pPr>
      <w:r w:rsidRPr="0056321E">
        <w:rPr>
          <w:rFonts w:ascii="Times New Roman" w:eastAsia="Times New Roman" w:hAnsi="Times New Roman" w:cs="Times New Roman"/>
          <w:color w:val="222222"/>
          <w:shd w:val="clear" w:color="auto" w:fill="F8F9FA"/>
          <w:lang w:val="en-US" w:eastAsia="it-IT"/>
        </w:rPr>
        <w:t xml:space="preserve">The surveyed experts indicate the fields in which the ex-prisoners can prove more competitive, mostly in craft -manufacturing sector then in agricultural -food sector and finally in the field of personal services. </w:t>
      </w:r>
      <w:r w:rsidR="00777063">
        <w:rPr>
          <w:rFonts w:ascii="Times New Roman" w:eastAsia="Times New Roman" w:hAnsi="Times New Roman" w:cs="Times New Roman"/>
          <w:color w:val="222222"/>
          <w:shd w:val="clear" w:color="auto" w:fill="F8F9FA"/>
          <w:lang w:val="en-US" w:eastAsia="it-IT"/>
        </w:rPr>
        <w:t xml:space="preserve">But </w:t>
      </w:r>
      <w:r w:rsidRPr="0056321E">
        <w:rPr>
          <w:rFonts w:ascii="Times New Roman" w:eastAsia="Times New Roman" w:hAnsi="Times New Roman" w:cs="Times New Roman"/>
          <w:color w:val="222222"/>
          <w:shd w:val="clear" w:color="auto" w:fill="F8F9FA"/>
          <w:lang w:val="en-US" w:eastAsia="it-IT"/>
        </w:rPr>
        <w:t>any kind of sector</w:t>
      </w:r>
      <w:r w:rsidR="00822A64">
        <w:rPr>
          <w:rFonts w:ascii="Times New Roman" w:eastAsia="Times New Roman" w:hAnsi="Times New Roman" w:cs="Times New Roman"/>
          <w:color w:val="222222"/>
          <w:shd w:val="clear" w:color="auto" w:fill="F8F9FA"/>
          <w:lang w:val="en-US" w:eastAsia="it-IT"/>
        </w:rPr>
        <w:t xml:space="preserve">s are suggested </w:t>
      </w:r>
      <w:r w:rsidRPr="0056321E">
        <w:rPr>
          <w:rFonts w:ascii="Times New Roman" w:eastAsia="Times New Roman" w:hAnsi="Times New Roman" w:cs="Times New Roman"/>
          <w:color w:val="222222"/>
          <w:shd w:val="clear" w:color="auto" w:fill="F8F9FA"/>
          <w:lang w:val="en-US" w:eastAsia="it-IT"/>
        </w:rPr>
        <w:t xml:space="preserve"> based on personal orientations </w:t>
      </w:r>
      <w:r w:rsidR="00822A64">
        <w:rPr>
          <w:rFonts w:ascii="Times New Roman" w:eastAsia="Times New Roman" w:hAnsi="Times New Roman" w:cs="Times New Roman"/>
          <w:color w:val="222222"/>
          <w:shd w:val="clear" w:color="auto" w:fill="F8F9FA"/>
          <w:lang w:val="en-US" w:eastAsia="it-IT"/>
        </w:rPr>
        <w:t xml:space="preserve">meanwhile </w:t>
      </w:r>
      <w:r w:rsidRPr="0056321E">
        <w:rPr>
          <w:rFonts w:ascii="Times New Roman" w:eastAsia="Times New Roman" w:hAnsi="Times New Roman" w:cs="Times New Roman"/>
          <w:color w:val="222222"/>
          <w:shd w:val="clear" w:color="auto" w:fill="F8F9FA"/>
          <w:lang w:val="en-US" w:eastAsia="it-IT"/>
        </w:rPr>
        <w:t>put</w:t>
      </w:r>
      <w:r w:rsidR="00822A64">
        <w:rPr>
          <w:rFonts w:ascii="Times New Roman" w:eastAsia="Times New Roman" w:hAnsi="Times New Roman" w:cs="Times New Roman"/>
          <w:color w:val="222222"/>
          <w:shd w:val="clear" w:color="auto" w:fill="F8F9FA"/>
          <w:lang w:val="en-US" w:eastAsia="it-IT"/>
        </w:rPr>
        <w:t>ting</w:t>
      </w:r>
      <w:r w:rsidRPr="0056321E">
        <w:rPr>
          <w:rFonts w:ascii="Times New Roman" w:eastAsia="Times New Roman" w:hAnsi="Times New Roman" w:cs="Times New Roman"/>
          <w:color w:val="222222"/>
          <w:shd w:val="clear" w:color="auto" w:fill="F8F9FA"/>
          <w:lang w:val="en-US" w:eastAsia="it-IT"/>
        </w:rPr>
        <w:t xml:space="preserve"> an eye on</w:t>
      </w:r>
      <w:r w:rsidRPr="0056321E">
        <w:rPr>
          <w:rFonts w:cs="Calibri"/>
          <w:color w:val="222222"/>
          <w:lang w:val="en-GB"/>
        </w:rPr>
        <w:t xml:space="preserve"> specific </w:t>
      </w:r>
      <w:r w:rsidRPr="0056321E">
        <w:rPr>
          <w:rFonts w:ascii="Times" w:hAnsi="Times" w:cs="Calibri"/>
          <w:color w:val="222222"/>
          <w:lang w:val="en-GB"/>
        </w:rPr>
        <w:t>fields required by the labo</w:t>
      </w:r>
      <w:r w:rsidR="006119F9">
        <w:rPr>
          <w:rFonts w:ascii="Times" w:hAnsi="Times" w:cs="Calibri"/>
          <w:color w:val="222222"/>
          <w:lang w:val="en-GB"/>
        </w:rPr>
        <w:t>u</w:t>
      </w:r>
      <w:r w:rsidRPr="0056321E">
        <w:rPr>
          <w:rFonts w:ascii="Times" w:hAnsi="Times" w:cs="Calibri"/>
          <w:color w:val="222222"/>
          <w:lang w:val="en-GB"/>
        </w:rPr>
        <w:t xml:space="preserve">r market. </w:t>
      </w:r>
      <w:r w:rsidR="0056321E">
        <w:rPr>
          <w:rFonts w:ascii="Times New Roman" w:eastAsia="Times New Roman" w:hAnsi="Times New Roman" w:cs="Times New Roman"/>
          <w:color w:val="222222"/>
          <w:shd w:val="clear" w:color="auto" w:fill="F8F9FA"/>
          <w:lang w:val="en-GB" w:eastAsia="it-IT"/>
        </w:rPr>
        <w:t>T</w:t>
      </w:r>
      <w:r w:rsidRPr="0056321E">
        <w:rPr>
          <w:rFonts w:ascii="Times New Roman" w:eastAsia="Times New Roman" w:hAnsi="Times New Roman" w:cs="Times New Roman"/>
          <w:color w:val="222222"/>
          <w:shd w:val="clear" w:color="auto" w:fill="F8F9FA"/>
          <w:lang w:val="en-US" w:eastAsia="it-IT"/>
        </w:rPr>
        <w:t>he simplest and most achievable business model for an ex-prisoner woman is the cooperative and / or social enterprise model</w:t>
      </w:r>
      <w:r w:rsidR="00822A64">
        <w:rPr>
          <w:rFonts w:ascii="Times New Roman" w:eastAsia="Times New Roman" w:hAnsi="Times New Roman" w:cs="Times New Roman"/>
          <w:color w:val="222222"/>
          <w:shd w:val="clear" w:color="auto" w:fill="F8F9FA"/>
          <w:lang w:val="en-US" w:eastAsia="it-IT"/>
        </w:rPr>
        <w:t>.</w:t>
      </w:r>
      <w:bookmarkStart w:id="3" w:name="_GoBack"/>
      <w:bookmarkEnd w:id="3"/>
      <w:r w:rsidRPr="0056321E">
        <w:rPr>
          <w:rFonts w:ascii="Times New Roman" w:eastAsia="Times New Roman" w:hAnsi="Times New Roman" w:cs="Times New Roman"/>
          <w:color w:val="222222"/>
          <w:shd w:val="clear" w:color="auto" w:fill="F8F9FA"/>
          <w:lang w:val="en-US" w:eastAsia="it-IT"/>
        </w:rPr>
        <w:t xml:space="preserve"> </w:t>
      </w:r>
    </w:p>
    <w:p w:rsidR="0056321E" w:rsidRDefault="0056321E" w:rsidP="0056321E">
      <w:pPr>
        <w:spacing w:line="360" w:lineRule="auto"/>
        <w:ind w:right="-7"/>
        <w:rPr>
          <w:rFonts w:ascii="Times New Roman" w:eastAsia="Times New Roman" w:hAnsi="Times New Roman" w:cs="Times New Roman"/>
          <w:color w:val="222222"/>
          <w:shd w:val="clear" w:color="auto" w:fill="F8F9FA"/>
          <w:lang w:val="en-US" w:eastAsia="it-IT"/>
        </w:rPr>
      </w:pPr>
    </w:p>
    <w:p w:rsidR="0056321E" w:rsidRDefault="005049F5" w:rsidP="0056321E">
      <w:pPr>
        <w:spacing w:line="360" w:lineRule="auto"/>
        <w:ind w:right="-7"/>
        <w:rPr>
          <w:rFonts w:ascii="Times New Roman" w:hAnsi="Times New Roman" w:cs="Times New Roman"/>
          <w:color w:val="222222"/>
          <w:shd w:val="clear" w:color="auto" w:fill="F8F9FA"/>
          <w:lang w:val="en-US"/>
        </w:rPr>
      </w:pPr>
      <w:r w:rsidRPr="0056321E">
        <w:rPr>
          <w:rFonts w:ascii="Times New Roman" w:eastAsia="Times New Roman" w:hAnsi="Times New Roman" w:cs="Times New Roman"/>
          <w:color w:val="222222"/>
          <w:shd w:val="clear" w:color="auto" w:fill="F8F9FA"/>
          <w:lang w:val="en-US" w:eastAsia="it-IT"/>
        </w:rPr>
        <w:t xml:space="preserve">In conclusion it would be highly recommended go along and endorse those women in developing their ideas, both financially and methodologically, </w:t>
      </w:r>
      <w:r w:rsidRPr="0056321E">
        <w:rPr>
          <w:rFonts w:ascii="Times New Roman" w:hAnsi="Times New Roman" w:cs="Times New Roman"/>
          <w:color w:val="222222"/>
          <w:shd w:val="clear" w:color="auto" w:fill="F8F9FA"/>
          <w:lang w:val="en-US"/>
        </w:rPr>
        <w:t>breaking barrier about discrimination, supporting their desire to get involved even after hitting the bottom. Self -employment and social entrepreneurship  can be efficient tools for reintegration and against the risk of recurrence.</w:t>
      </w:r>
    </w:p>
    <w:p w:rsidR="0056321E" w:rsidRDefault="0056321E">
      <w:pPr>
        <w:rPr>
          <w:rFonts w:ascii="Times New Roman" w:hAnsi="Times New Roman" w:cs="Times New Roman"/>
          <w:color w:val="222222"/>
          <w:shd w:val="clear" w:color="auto" w:fill="F8F9FA"/>
          <w:lang w:val="en-US"/>
        </w:rPr>
      </w:pPr>
      <w:r>
        <w:rPr>
          <w:rFonts w:ascii="Times New Roman" w:hAnsi="Times New Roman" w:cs="Times New Roman"/>
          <w:color w:val="222222"/>
          <w:shd w:val="clear" w:color="auto" w:fill="F8F9FA"/>
          <w:lang w:val="en-US"/>
        </w:rPr>
        <w:br w:type="page"/>
      </w:r>
    </w:p>
    <w:p w:rsidR="0056321E" w:rsidRPr="00AF0B43" w:rsidRDefault="0056321E" w:rsidP="0056321E">
      <w:pPr>
        <w:pStyle w:val="Corpotesto"/>
        <w:jc w:val="both"/>
        <w:rPr>
          <w:lang w:val="en-US"/>
        </w:rPr>
      </w:pPr>
      <w:r w:rsidRPr="00AF0B43">
        <w:rPr>
          <w:rFonts w:cs="Times New Roman"/>
          <w:b/>
          <w:bCs/>
          <w:color w:val="0047FF"/>
          <w:sz w:val="40"/>
          <w:szCs w:val="40"/>
          <w:lang w:val="en-US"/>
        </w:rPr>
        <w:lastRenderedPageBreak/>
        <w:t>Reference List</w:t>
      </w:r>
    </w:p>
    <w:p w:rsidR="0056321E" w:rsidRPr="00AF0B43" w:rsidRDefault="0056321E" w:rsidP="0056321E">
      <w:pPr>
        <w:pStyle w:val="Corpotesto"/>
        <w:tabs>
          <w:tab w:val="left" w:pos="0"/>
        </w:tabs>
        <w:ind w:left="491" w:hanging="491"/>
        <w:jc w:val="both"/>
        <w:rPr>
          <w:lang w:val="en-US"/>
        </w:rPr>
      </w:pPr>
    </w:p>
    <w:p w:rsidR="0056321E" w:rsidRPr="00AF0B43" w:rsidRDefault="0056321E" w:rsidP="0056321E">
      <w:pPr>
        <w:pStyle w:val="Corpotesto"/>
        <w:tabs>
          <w:tab w:val="left" w:pos="0"/>
        </w:tabs>
        <w:ind w:left="491" w:hanging="491"/>
        <w:jc w:val="both"/>
        <w:rPr>
          <w:rFonts w:cs="Times New Roman"/>
          <w:lang w:val="en-US"/>
        </w:rPr>
      </w:pPr>
      <w:r w:rsidRPr="00AF0B43">
        <w:rPr>
          <w:rFonts w:cs="Times New Roman"/>
          <w:lang w:val="en-US"/>
        </w:rPr>
        <w:t xml:space="preserve">Walmsley, R. ( 2018).Women and girls in penal institutions, including pre-trial detainees/remand prisoners in World Female Imprisonment List fourth edition. institute for criminal policy research. Retrieved from </w:t>
      </w:r>
      <w:hyperlink r:id="rId8" w:history="1">
        <w:r w:rsidRPr="00914015">
          <w:rPr>
            <w:rStyle w:val="Collegamentoipertestuale"/>
            <w:lang w:val="en-US"/>
          </w:rPr>
          <w:t>https://www.prisonstudies.org/research-publications?s</w:t>
        </w:r>
      </w:hyperlink>
      <w:hyperlink r:id="rId9" w:history="1">
        <w:r w:rsidRPr="00914015">
          <w:rPr>
            <w:rStyle w:val="Collegamentoipertestuale"/>
            <w:lang w:val="en-US"/>
          </w:rPr>
          <w:t>hs_term_node_tid_depth=27</w:t>
        </w:r>
      </w:hyperlink>
    </w:p>
    <w:p w:rsidR="0056321E" w:rsidRPr="00AF0B43" w:rsidRDefault="0056321E" w:rsidP="0056321E">
      <w:pPr>
        <w:pStyle w:val="Corpotesto"/>
        <w:jc w:val="both"/>
        <w:rPr>
          <w:rFonts w:cs="Times New Roman"/>
          <w:lang w:val="en-US"/>
        </w:rPr>
      </w:pPr>
      <w:r w:rsidRPr="00AF0B43">
        <w:rPr>
          <w:rFonts w:cs="Times New Roman"/>
          <w:lang w:val="en-US"/>
        </w:rPr>
        <w:t xml:space="preserve"> </w:t>
      </w:r>
    </w:p>
    <w:p w:rsidR="0056321E" w:rsidRPr="00AF0B43" w:rsidRDefault="0056321E" w:rsidP="0056321E">
      <w:pPr>
        <w:pStyle w:val="Corpotesto"/>
        <w:tabs>
          <w:tab w:val="left" w:pos="642"/>
        </w:tabs>
        <w:ind w:left="586" w:hanging="567"/>
        <w:jc w:val="both"/>
        <w:rPr>
          <w:rFonts w:cs="Times New Roman"/>
          <w:color w:val="7482A5"/>
          <w:lang w:val="en-US"/>
        </w:rPr>
      </w:pPr>
      <w:proofErr w:type="spellStart"/>
      <w:r w:rsidRPr="00AF0B43">
        <w:rPr>
          <w:rFonts w:cs="Times New Roman"/>
          <w:lang w:val="en-US"/>
        </w:rPr>
        <w:t>Panayotopoulos</w:t>
      </w:r>
      <w:proofErr w:type="spellEnd"/>
      <w:r w:rsidRPr="00AF0B43">
        <w:rPr>
          <w:rFonts w:cs="Times New Roman"/>
          <w:lang w:val="en-US"/>
        </w:rPr>
        <w:t xml:space="preserve"> </w:t>
      </w:r>
      <w:proofErr w:type="spellStart"/>
      <w:r w:rsidRPr="00AF0B43">
        <w:rPr>
          <w:rFonts w:cs="Times New Roman"/>
          <w:lang w:val="en-US"/>
        </w:rPr>
        <w:t>Cassiotou</w:t>
      </w:r>
      <w:proofErr w:type="spellEnd"/>
      <w:r w:rsidRPr="00AF0B43">
        <w:rPr>
          <w:rFonts w:cs="Times New Roman"/>
          <w:lang w:val="en-US"/>
        </w:rPr>
        <w:t xml:space="preserve">, M. (2008). Report on the situation of women in prison and the impact of the imprisonment of parents on social and family life (2007/2116(INI)).  Retrieved from </w:t>
      </w:r>
      <w:hyperlink r:id="rId10" w:history="1">
        <w:r w:rsidRPr="00914015">
          <w:rPr>
            <w:rStyle w:val="Collegamentoipertestuale"/>
            <w:lang w:val="en-US"/>
          </w:rPr>
          <w:t>http://www.europarl.europa.eu/sides/getDoc.do?pubRef=-//EP//NONSGML+REPORT+A6-2008-0033+0+DOC+PDF+V0//EN</w:t>
        </w:r>
      </w:hyperlink>
    </w:p>
    <w:p w:rsidR="0056321E" w:rsidRPr="00AF0B43" w:rsidRDefault="0056321E" w:rsidP="0056321E">
      <w:pPr>
        <w:jc w:val="both"/>
        <w:rPr>
          <w:rFonts w:cs="Times New Roman"/>
          <w:color w:val="7482A5"/>
          <w:lang w:val="en-US"/>
        </w:rPr>
      </w:pPr>
    </w:p>
    <w:p w:rsidR="0056321E" w:rsidRDefault="0056321E" w:rsidP="0056321E">
      <w:pPr>
        <w:jc w:val="both"/>
        <w:rPr>
          <w:rFonts w:cs="Times New Roman"/>
          <w:color w:val="000000"/>
        </w:rPr>
      </w:pPr>
      <w:r>
        <w:rPr>
          <w:rFonts w:cs="Times New Roman"/>
          <w:color w:val="000000"/>
        </w:rPr>
        <w:t xml:space="preserve">Istat. Istituto Nazionale di Statistica. </w:t>
      </w:r>
    </w:p>
    <w:p w:rsidR="0056321E" w:rsidRPr="00AF0B43" w:rsidRDefault="0056321E" w:rsidP="0056321E">
      <w:pPr>
        <w:ind w:left="680"/>
        <w:jc w:val="both"/>
        <w:rPr>
          <w:rFonts w:cs="Times New Roman"/>
          <w:color w:val="7482A5"/>
          <w:lang w:val="en-US"/>
        </w:rPr>
      </w:pPr>
      <w:r w:rsidRPr="00AF0B43">
        <w:rPr>
          <w:rFonts w:cs="Times New Roman"/>
          <w:color w:val="000000"/>
          <w:lang w:val="en-US"/>
        </w:rPr>
        <w:t xml:space="preserve">Retrieved from </w:t>
      </w:r>
      <w:hyperlink r:id="rId11" w:history="1">
        <w:r w:rsidRPr="00914015">
          <w:rPr>
            <w:rStyle w:val="Collegamentoipertestuale"/>
            <w:lang w:val="en-US"/>
          </w:rPr>
          <w:t xml:space="preserve">https://www.istat.it </w:t>
        </w:r>
      </w:hyperlink>
    </w:p>
    <w:p w:rsidR="0056321E" w:rsidRPr="00AF0B43" w:rsidRDefault="0056321E" w:rsidP="0056321E">
      <w:pPr>
        <w:jc w:val="both"/>
        <w:rPr>
          <w:rFonts w:cs="Times New Roman"/>
          <w:color w:val="7482A5"/>
          <w:lang w:val="en-US"/>
        </w:rPr>
      </w:pPr>
    </w:p>
    <w:p w:rsidR="0056321E" w:rsidRPr="00AF0B43" w:rsidRDefault="0056321E" w:rsidP="0056321E">
      <w:pPr>
        <w:ind w:left="661" w:hanging="642"/>
        <w:jc w:val="both"/>
        <w:rPr>
          <w:rFonts w:cs="Times New Roman"/>
          <w:color w:val="333333"/>
          <w:lang w:val="en-US"/>
        </w:rPr>
      </w:pPr>
      <w:r>
        <w:rPr>
          <w:rFonts w:cs="Times New Roman"/>
          <w:color w:val="333333"/>
        </w:rPr>
        <w:t xml:space="preserve">Palmisano, R. (2015). </w:t>
      </w:r>
      <w:r>
        <w:rPr>
          <w:rFonts w:cs="Times New Roman"/>
        </w:rPr>
        <w:t>Scheda sulla detenzione femminile.</w:t>
      </w:r>
      <w:r>
        <w:rPr>
          <w:rFonts w:cs="Times New Roman"/>
          <w:color w:val="003366"/>
        </w:rPr>
        <w:t xml:space="preserve"> D</w:t>
      </w:r>
      <w:r>
        <w:rPr>
          <w:rStyle w:val="Enfasigrassetto"/>
          <w:rFonts w:cs="Times New Roman"/>
          <w:b w:val="0"/>
          <w:bCs w:val="0"/>
          <w:color w:val="333333"/>
        </w:rPr>
        <w:t xml:space="preserve">ipartimento Amministrazione Penitenziaria . Ufficio del capo del </w:t>
      </w:r>
      <w:proofErr w:type="spellStart"/>
      <w:r>
        <w:rPr>
          <w:rStyle w:val="Enfasigrassetto"/>
          <w:rFonts w:cs="Times New Roman"/>
          <w:b w:val="0"/>
          <w:bCs w:val="0"/>
          <w:color w:val="333333"/>
        </w:rPr>
        <w:t>dipartimento.Ufficio</w:t>
      </w:r>
      <w:proofErr w:type="spellEnd"/>
      <w:r>
        <w:rPr>
          <w:rStyle w:val="Enfasigrassetto"/>
          <w:rFonts w:cs="Times New Roman"/>
          <w:b w:val="0"/>
          <w:bCs w:val="0"/>
          <w:color w:val="333333"/>
        </w:rPr>
        <w:t xml:space="preserve"> studi ricerche legislazione e rapporti internazionali. </w:t>
      </w:r>
      <w:r w:rsidRPr="00AF0B43">
        <w:rPr>
          <w:rStyle w:val="Enfasigrassetto"/>
          <w:rFonts w:cs="Times New Roman"/>
          <w:b w:val="0"/>
          <w:bCs w:val="0"/>
          <w:lang w:val="en-US"/>
        </w:rPr>
        <w:t xml:space="preserve">Retrieved from </w:t>
      </w:r>
      <w:hyperlink r:id="rId12" w:history="1">
        <w:r w:rsidRPr="00914015">
          <w:rPr>
            <w:rStyle w:val="Collegamentoipertestuale"/>
            <w:lang w:val="en-US"/>
          </w:rPr>
          <w:t>https://www.giustizia.it/giustizia/it/mg_1_12_1.page?contentId=SPS1155101&amp;previsiousPage=mg_1_12</w:t>
        </w:r>
      </w:hyperlink>
    </w:p>
    <w:p w:rsidR="0056321E" w:rsidRPr="00AF0B43" w:rsidRDefault="0056321E" w:rsidP="0056321E">
      <w:pPr>
        <w:ind w:left="661" w:hanging="642"/>
        <w:jc w:val="both"/>
        <w:rPr>
          <w:rFonts w:cs="Times New Roman"/>
          <w:color w:val="333333"/>
          <w:lang w:val="en-US"/>
        </w:rPr>
      </w:pPr>
    </w:p>
    <w:p w:rsidR="0056321E" w:rsidRPr="00AF0B43" w:rsidRDefault="0056321E" w:rsidP="0056321E">
      <w:pPr>
        <w:jc w:val="both"/>
        <w:rPr>
          <w:lang w:val="en-US"/>
        </w:rPr>
      </w:pPr>
      <w:r w:rsidRPr="00AF0B43">
        <w:rPr>
          <w:rFonts w:cs="Times New Roman"/>
          <w:color w:val="333333"/>
          <w:lang w:val="en-US"/>
        </w:rPr>
        <w:t xml:space="preserve">International </w:t>
      </w:r>
      <w:proofErr w:type="spellStart"/>
      <w:r w:rsidRPr="00AF0B43">
        <w:rPr>
          <w:rFonts w:cs="Times New Roman"/>
          <w:color w:val="333333"/>
          <w:lang w:val="en-US"/>
        </w:rPr>
        <w:t>centre</w:t>
      </w:r>
      <w:proofErr w:type="spellEnd"/>
      <w:r w:rsidRPr="00AF0B43">
        <w:rPr>
          <w:rFonts w:cs="Times New Roman"/>
          <w:color w:val="333333"/>
          <w:lang w:val="en-US"/>
        </w:rPr>
        <w:t xml:space="preserve"> for prison studies 2019. </w:t>
      </w:r>
      <w:r w:rsidRPr="00AF0B43">
        <w:rPr>
          <w:rStyle w:val="Enfasigrassetto"/>
          <w:rFonts w:cs="Times New Roman"/>
          <w:b w:val="0"/>
          <w:bCs w:val="0"/>
          <w:lang w:val="en-US"/>
        </w:rPr>
        <w:t xml:space="preserve">Retrieved from </w:t>
      </w:r>
    </w:p>
    <w:p w:rsidR="0056321E" w:rsidRPr="00AF0B43" w:rsidRDefault="007679DF" w:rsidP="0056321E">
      <w:pPr>
        <w:ind w:left="661"/>
        <w:jc w:val="both"/>
        <w:rPr>
          <w:rFonts w:cs="Times New Roman"/>
          <w:lang w:val="en-US"/>
        </w:rPr>
      </w:pPr>
      <w:hyperlink r:id="rId13" w:history="1">
        <w:r w:rsidR="0056321E" w:rsidRPr="00914015">
          <w:rPr>
            <w:rStyle w:val="Collegamentoipertestuale"/>
            <w:lang w:val="en-US"/>
          </w:rPr>
          <w:t>https://www.prisonstudies.org/country/italy</w:t>
        </w:r>
      </w:hyperlink>
    </w:p>
    <w:p w:rsidR="0056321E" w:rsidRPr="00AF0B43" w:rsidRDefault="0056321E" w:rsidP="0056321E">
      <w:pPr>
        <w:ind w:left="661"/>
        <w:jc w:val="both"/>
        <w:rPr>
          <w:rFonts w:cs="Times New Roman"/>
          <w:lang w:val="en-US"/>
        </w:rPr>
      </w:pPr>
    </w:p>
    <w:p w:rsidR="0056321E" w:rsidRPr="00AF0B43" w:rsidRDefault="0056321E" w:rsidP="0056321E">
      <w:pPr>
        <w:pStyle w:val="Corpotesto"/>
        <w:ind w:left="680" w:hanging="661"/>
        <w:jc w:val="both"/>
        <w:rPr>
          <w:lang w:val="en-US"/>
        </w:rPr>
      </w:pPr>
      <w:r>
        <w:rPr>
          <w:rFonts w:cs="Times New Roman"/>
        </w:rPr>
        <w:t xml:space="preserve">Salvati, A. (2011). La detenzione femminile. Amministrazione in cammino. Rivista elettronica di diritto pubblico, diritto dell'economia e di scienza dell'amministrazione.  </w:t>
      </w:r>
      <w:r w:rsidRPr="00AF0B43">
        <w:rPr>
          <w:rStyle w:val="Enfasigrassetto"/>
          <w:rFonts w:cs="Times New Roman"/>
          <w:b w:val="0"/>
          <w:bCs w:val="0"/>
          <w:lang w:val="en-US"/>
        </w:rPr>
        <w:t xml:space="preserve">Retrieved from </w:t>
      </w:r>
      <w:hyperlink r:id="rId14" w:history="1">
        <w:r w:rsidRPr="00914015">
          <w:rPr>
            <w:rStyle w:val="Collegamentoipertestuale"/>
            <w:lang w:val="en-US"/>
          </w:rPr>
          <w:t>http://www.amministrazioneincammino.luiss.it/app/uploads/2011/10/Salvati-detenzione-femminile_riv.pdf</w:t>
        </w:r>
      </w:hyperlink>
    </w:p>
    <w:p w:rsidR="0056321E" w:rsidRPr="00AF0B43" w:rsidRDefault="0056321E" w:rsidP="0056321E">
      <w:pPr>
        <w:pStyle w:val="Corpotesto"/>
        <w:ind w:left="680" w:hanging="661"/>
        <w:jc w:val="both"/>
        <w:rPr>
          <w:lang w:val="en-US"/>
        </w:rPr>
      </w:pPr>
    </w:p>
    <w:p w:rsidR="0056321E" w:rsidRDefault="0056321E" w:rsidP="0056321E">
      <w:pPr>
        <w:pStyle w:val="Corpotesto"/>
        <w:ind w:left="605" w:hanging="586"/>
        <w:jc w:val="both"/>
        <w:rPr>
          <w:rFonts w:cs="Times New Roman"/>
        </w:rPr>
      </w:pPr>
      <w:proofErr w:type="spellStart"/>
      <w:r>
        <w:rPr>
          <w:rFonts w:cs="Times New Roman"/>
        </w:rPr>
        <w:t>Fadda</w:t>
      </w:r>
      <w:proofErr w:type="spellEnd"/>
      <w:r>
        <w:rPr>
          <w:rFonts w:cs="Times New Roman"/>
        </w:rPr>
        <w:t xml:space="preserve">, M.L. (2010). La detenzione femminile: questioni e prospettive, </w:t>
      </w:r>
      <w:proofErr w:type="spellStart"/>
      <w:r>
        <w:rPr>
          <w:rStyle w:val="Enfasigrassetto"/>
          <w:rFonts w:cs="Times New Roman"/>
          <w:b w:val="0"/>
          <w:bCs w:val="0"/>
        </w:rPr>
        <w:t>Retrieved</w:t>
      </w:r>
      <w:proofErr w:type="spellEnd"/>
      <w:r>
        <w:rPr>
          <w:rStyle w:val="Enfasigrassetto"/>
          <w:rFonts w:cs="Times New Roman"/>
          <w:b w:val="0"/>
          <w:bCs w:val="0"/>
        </w:rPr>
        <w:t xml:space="preserve"> from </w:t>
      </w:r>
      <w:hyperlink r:id="rId15" w:history="1"/>
      <w:r>
        <w:rPr>
          <w:rFonts w:cs="Times New Roman"/>
          <w:color w:val="0000FF"/>
        </w:rPr>
        <w:t xml:space="preserve"> </w:t>
      </w:r>
      <w:r>
        <w:rPr>
          <w:rFonts w:cs="Times New Roman"/>
          <w:color w:val="000000"/>
        </w:rPr>
        <w:t>and from</w:t>
      </w:r>
      <w:r>
        <w:rPr>
          <w:rFonts w:cs="Times New Roman"/>
          <w:color w:val="0000FF"/>
        </w:rPr>
        <w:t xml:space="preserve"> </w:t>
      </w:r>
      <w:hyperlink r:id="rId16" w:history="1">
        <w:r>
          <w:rPr>
            <w:rStyle w:val="Collegamentoipertestuale"/>
          </w:rPr>
          <w:t>www.personaedanno.it</w:t>
        </w:r>
      </w:hyperlink>
    </w:p>
    <w:p w:rsidR="0056321E" w:rsidRDefault="0056321E" w:rsidP="0056321E">
      <w:pPr>
        <w:pStyle w:val="Corpotesto"/>
        <w:jc w:val="both"/>
        <w:rPr>
          <w:rFonts w:cs="Times New Roman"/>
        </w:rPr>
      </w:pPr>
    </w:p>
    <w:p w:rsidR="0056321E" w:rsidRDefault="0056321E" w:rsidP="0056321E">
      <w:pPr>
        <w:pStyle w:val="Corpotesto"/>
        <w:ind w:left="586" w:hanging="548"/>
        <w:jc w:val="both"/>
        <w:rPr>
          <w:rFonts w:ascii="Work Sans" w:hAnsi="Work Sans" w:cs="Work Sans" w:hint="eastAsia"/>
          <w:color w:val="232323"/>
        </w:rPr>
      </w:pPr>
      <w:proofErr w:type="spellStart"/>
      <w:r>
        <w:rPr>
          <w:rFonts w:cs="Times New Roman"/>
          <w:color w:val="232323"/>
        </w:rPr>
        <w:t>Fabini</w:t>
      </w:r>
      <w:proofErr w:type="spellEnd"/>
      <w:r>
        <w:rPr>
          <w:rFonts w:cs="Times New Roman"/>
          <w:color w:val="232323"/>
        </w:rPr>
        <w:t xml:space="preserve">, G. </w:t>
      </w:r>
      <w:bookmarkStart w:id="4" w:name="anchor-1"/>
      <w:bookmarkEnd w:id="4"/>
      <w:r>
        <w:rPr>
          <w:rFonts w:cs="Times New Roman"/>
          <w:color w:val="232323"/>
        </w:rPr>
        <w:t xml:space="preserve">(2016). Donne e carcere: quale genere di detenzione?. Torna il carcere, XIII Rapporto sulle condizioni di detenzione. </w:t>
      </w:r>
      <w:proofErr w:type="spellStart"/>
      <w:r>
        <w:rPr>
          <w:rStyle w:val="Enfasigrassetto"/>
          <w:rFonts w:cs="Times New Roman"/>
          <w:b w:val="0"/>
          <w:bCs w:val="0"/>
          <w:color w:val="000000"/>
        </w:rPr>
        <w:t>Retrieved</w:t>
      </w:r>
      <w:proofErr w:type="spellEnd"/>
      <w:r>
        <w:rPr>
          <w:rStyle w:val="Enfasigrassetto"/>
          <w:rFonts w:cs="Times New Roman"/>
          <w:b w:val="0"/>
          <w:bCs w:val="0"/>
          <w:color w:val="000000"/>
        </w:rPr>
        <w:t xml:space="preserve"> from </w:t>
      </w:r>
      <w:hyperlink r:id="rId17" w:history="1">
        <w:r>
          <w:rPr>
            <w:rStyle w:val="Collegamentoipertestuale"/>
          </w:rPr>
          <w:t>http://www.antigone.it/tredicesimo-rapporto-sulle-condizioni-di-detenzione/03-detenzione-femminile/</w:t>
        </w:r>
      </w:hyperlink>
    </w:p>
    <w:p w:rsidR="0056321E" w:rsidRDefault="0056321E" w:rsidP="0056321E">
      <w:pPr>
        <w:jc w:val="both"/>
        <w:rPr>
          <w:rFonts w:ascii="Work Sans" w:hAnsi="Work Sans" w:cs="Work Sans"/>
          <w:color w:val="232323"/>
        </w:rPr>
      </w:pPr>
    </w:p>
    <w:p w:rsidR="0056321E" w:rsidRDefault="0056321E" w:rsidP="0056321E">
      <w:pPr>
        <w:ind w:left="586" w:hanging="567"/>
        <w:jc w:val="both"/>
        <w:rPr>
          <w:rFonts w:cs="Times New Roman"/>
          <w:color w:val="32312F"/>
        </w:rPr>
      </w:pPr>
      <w:proofErr w:type="spellStart"/>
      <w:r>
        <w:rPr>
          <w:rFonts w:cs="Times New Roman"/>
          <w:color w:val="32312F"/>
        </w:rPr>
        <w:t>Fabini</w:t>
      </w:r>
      <w:proofErr w:type="spellEnd"/>
      <w:r>
        <w:rPr>
          <w:rFonts w:cs="Times New Roman"/>
          <w:color w:val="32312F"/>
        </w:rPr>
        <w:t>, G. (2019). Uno sguardo qualitativo sulla detenzione femminile.</w:t>
      </w:r>
      <w:r>
        <w:rPr>
          <w:rFonts w:cs="Times New Roman"/>
          <w:color w:val="FFFFFF"/>
        </w:rPr>
        <w:t xml:space="preserve"> </w:t>
      </w:r>
      <w:r>
        <w:rPr>
          <w:rFonts w:cs="Times New Roman"/>
          <w:color w:val="32312F"/>
        </w:rPr>
        <w:t xml:space="preserve">Donne, non solo numeri. Il carcere secondo la Costituzione, </w:t>
      </w:r>
      <w:r>
        <w:rPr>
          <w:rFonts w:cs="Times New Roman"/>
          <w:color w:val="232323"/>
        </w:rPr>
        <w:t xml:space="preserve">XV Rapporto sulle condizioni di detenzione.  </w:t>
      </w:r>
      <w:proofErr w:type="spellStart"/>
      <w:r>
        <w:rPr>
          <w:rStyle w:val="Enfasigrassetto"/>
          <w:rFonts w:cs="Times New Roman"/>
          <w:b w:val="0"/>
        </w:rPr>
        <w:t>Retrieved</w:t>
      </w:r>
      <w:proofErr w:type="spellEnd"/>
      <w:r>
        <w:rPr>
          <w:rStyle w:val="Enfasigrassetto"/>
          <w:rFonts w:cs="Times New Roman"/>
          <w:b w:val="0"/>
        </w:rPr>
        <w:t xml:space="preserve"> from</w:t>
      </w:r>
      <w:r>
        <w:rPr>
          <w:rStyle w:val="Enfasigrassetto"/>
          <w:rFonts w:cs="Times New Roman"/>
          <w:b w:val="0"/>
          <w:color w:val="FFFFFF"/>
        </w:rPr>
        <w:t>/</w:t>
      </w:r>
      <w:hyperlink r:id="rId18" w:history="1">
        <w:r>
          <w:rPr>
            <w:rStyle w:val="Collegamentoipertestuale"/>
          </w:rPr>
          <w:t>http://www.antigone.it/quindicesimo-rapporto-sulle-condizioni-di-detenzione/donne-non-solo-numeri/</w:t>
        </w:r>
      </w:hyperlink>
      <w:r>
        <w:rPr>
          <w:rFonts w:cs="Times New Roman"/>
          <w:color w:val="FFFFFF"/>
        </w:rPr>
        <w:t xml:space="preserve">e non solo numeri” </w:t>
      </w:r>
    </w:p>
    <w:p w:rsidR="0056321E" w:rsidRDefault="0056321E" w:rsidP="0056321E">
      <w:pPr>
        <w:pStyle w:val="Corpotesto"/>
        <w:jc w:val="both"/>
        <w:rPr>
          <w:rFonts w:cs="Times New Roman"/>
          <w:color w:val="32312F"/>
        </w:rPr>
      </w:pPr>
    </w:p>
    <w:p w:rsidR="0056321E" w:rsidRDefault="0056321E" w:rsidP="0056321E">
      <w:pPr>
        <w:jc w:val="both"/>
        <w:rPr>
          <w:rFonts w:cs="Times New Roman"/>
          <w:color w:val="232323"/>
        </w:rPr>
      </w:pPr>
      <w:r>
        <w:rPr>
          <w:rFonts w:cs="Times New Roman"/>
          <w:color w:val="232323"/>
        </w:rPr>
        <w:t xml:space="preserve">Mantovani, G. (2018). Donne ristrette. </w:t>
      </w:r>
      <w:proofErr w:type="spellStart"/>
      <w:r>
        <w:rPr>
          <w:rFonts w:cs="Times New Roman"/>
          <w:color w:val="232323"/>
        </w:rPr>
        <w:t>Ledizioni</w:t>
      </w:r>
      <w:proofErr w:type="spellEnd"/>
      <w:r>
        <w:rPr>
          <w:rFonts w:cs="Times New Roman"/>
          <w:color w:val="232323"/>
        </w:rPr>
        <w:t xml:space="preserve">. Milano. </w:t>
      </w:r>
    </w:p>
    <w:p w:rsidR="0056321E" w:rsidRDefault="0056321E" w:rsidP="0056321E">
      <w:pPr>
        <w:jc w:val="both"/>
        <w:rPr>
          <w:rFonts w:cs="Times New Roman"/>
          <w:color w:val="232323"/>
        </w:rPr>
      </w:pPr>
    </w:p>
    <w:p w:rsidR="0056321E" w:rsidRDefault="0056321E" w:rsidP="0056321E">
      <w:pPr>
        <w:jc w:val="both"/>
        <w:rPr>
          <w:rFonts w:cs="Times New Roman"/>
          <w:color w:val="000000"/>
        </w:rPr>
      </w:pPr>
    </w:p>
    <w:p w:rsidR="0056321E" w:rsidRPr="00AF0B43" w:rsidRDefault="0056321E" w:rsidP="0056321E">
      <w:pPr>
        <w:ind w:left="548" w:hanging="529"/>
        <w:jc w:val="both"/>
        <w:rPr>
          <w:rFonts w:cs="Times New Roman"/>
          <w:color w:val="000080"/>
          <w:lang w:val="en-US"/>
        </w:rPr>
      </w:pPr>
      <w:r>
        <w:rPr>
          <w:rFonts w:cs="Times New Roman"/>
          <w:color w:val="000000"/>
        </w:rPr>
        <w:lastRenderedPageBreak/>
        <w:t xml:space="preserve">Gonnella, P. (2015), Le identità e il carcere: donne, stranieri, minorenni.  </w:t>
      </w:r>
      <w:r w:rsidRPr="00AF0B43">
        <w:rPr>
          <w:rStyle w:val="Enfasigrassetto"/>
          <w:rFonts w:cs="Times New Roman"/>
          <w:b w:val="0"/>
          <w:bCs w:val="0"/>
          <w:lang w:val="en-US"/>
        </w:rPr>
        <w:t xml:space="preserve">Retrieved from </w:t>
      </w:r>
      <w:hyperlink r:id="rId19" w:history="1">
        <w:r w:rsidRPr="00914015">
          <w:rPr>
            <w:rStyle w:val="Collegamentoipertestuale"/>
            <w:lang w:val="en-US"/>
          </w:rPr>
          <w:t>http://www.costituzionalismo.it/download/Costituzionalismo_201502_521.pdf</w:t>
        </w:r>
      </w:hyperlink>
    </w:p>
    <w:p w:rsidR="0056321E" w:rsidRPr="00AF0B43" w:rsidRDefault="0056321E" w:rsidP="0056321E">
      <w:pPr>
        <w:pStyle w:val="Corpotesto"/>
        <w:jc w:val="both"/>
        <w:rPr>
          <w:rFonts w:cs="Times New Roman"/>
          <w:color w:val="000080"/>
          <w:lang w:val="en-US"/>
        </w:rPr>
      </w:pPr>
    </w:p>
    <w:p w:rsidR="0056321E" w:rsidRPr="00AF0B43" w:rsidRDefault="0056321E" w:rsidP="0056321E">
      <w:pPr>
        <w:pStyle w:val="Corpotesto"/>
        <w:ind w:left="510" w:hanging="491"/>
        <w:jc w:val="both"/>
        <w:rPr>
          <w:rFonts w:cs="Times New Roman"/>
          <w:lang w:val="en-US"/>
        </w:rPr>
      </w:pPr>
      <w:proofErr w:type="spellStart"/>
      <w:r w:rsidRPr="00AF0B43">
        <w:rPr>
          <w:rFonts w:cs="Times New Roman"/>
          <w:color w:val="000000"/>
          <w:lang w:val="en-US"/>
        </w:rPr>
        <w:t>Cruells</w:t>
      </w:r>
      <w:proofErr w:type="spellEnd"/>
      <w:r w:rsidRPr="00AF0B43">
        <w:rPr>
          <w:rFonts w:cs="Times New Roman"/>
          <w:color w:val="000000"/>
          <w:lang w:val="en-US"/>
        </w:rPr>
        <w:t xml:space="preserve">, M., </w:t>
      </w:r>
      <w:proofErr w:type="spellStart"/>
      <w:r w:rsidRPr="00AF0B43">
        <w:rPr>
          <w:rFonts w:cs="Times New Roman"/>
          <w:color w:val="000000"/>
          <w:lang w:val="en-US"/>
        </w:rPr>
        <w:t>Igareda</w:t>
      </w:r>
      <w:proofErr w:type="spellEnd"/>
      <w:r w:rsidRPr="00AF0B43">
        <w:rPr>
          <w:rFonts w:cs="Times New Roman"/>
          <w:color w:val="000000"/>
          <w:lang w:val="en-US"/>
        </w:rPr>
        <w:t xml:space="preserve">, N. (2005). </w:t>
      </w:r>
      <w:proofErr w:type="spellStart"/>
      <w:r w:rsidRPr="00AF0B43">
        <w:rPr>
          <w:rFonts w:cs="Times New Roman"/>
          <w:color w:val="000000"/>
          <w:lang w:val="en-US"/>
        </w:rPr>
        <w:t>Mip</w:t>
      </w:r>
      <w:proofErr w:type="spellEnd"/>
      <w:r w:rsidRPr="00AF0B43">
        <w:rPr>
          <w:rFonts w:cs="Times New Roman"/>
          <w:color w:val="000000"/>
          <w:lang w:val="en-US"/>
        </w:rPr>
        <w:t xml:space="preserve"> women, integration and prison. Analysis of the socio- </w:t>
      </w:r>
      <w:proofErr w:type="spellStart"/>
      <w:r w:rsidRPr="00AF0B43">
        <w:rPr>
          <w:rFonts w:cs="Times New Roman"/>
          <w:color w:val="000000"/>
          <w:lang w:val="en-US"/>
        </w:rPr>
        <w:t>labour</w:t>
      </w:r>
      <w:proofErr w:type="spellEnd"/>
      <w:r w:rsidRPr="00AF0B43">
        <w:rPr>
          <w:rFonts w:cs="Times New Roman"/>
          <w:color w:val="000000"/>
          <w:lang w:val="en-US"/>
        </w:rPr>
        <w:t xml:space="preserve"> integration processes of women prisoners in Europe. Project financed by the EC under the V Framework </w:t>
      </w:r>
      <w:proofErr w:type="spellStart"/>
      <w:r w:rsidRPr="00AF0B43">
        <w:rPr>
          <w:rFonts w:cs="Times New Roman"/>
          <w:color w:val="000000"/>
          <w:lang w:val="en-US"/>
        </w:rPr>
        <w:t>Programme</w:t>
      </w:r>
      <w:proofErr w:type="spellEnd"/>
      <w:r w:rsidRPr="00AF0B43">
        <w:rPr>
          <w:rFonts w:cs="Times New Roman"/>
          <w:color w:val="000000"/>
          <w:lang w:val="en-US"/>
        </w:rPr>
        <w:t xml:space="preserve">, 2002-2005. </w:t>
      </w:r>
      <w:r w:rsidRPr="00AF0B43">
        <w:rPr>
          <w:rStyle w:val="Enfasigrassetto"/>
          <w:rFonts w:cs="Times New Roman"/>
          <w:b w:val="0"/>
          <w:lang w:val="en-US"/>
        </w:rPr>
        <w:t xml:space="preserve">Retrieved from </w:t>
      </w:r>
      <w:hyperlink r:id="rId20" w:history="1">
        <w:r w:rsidRPr="00914015">
          <w:rPr>
            <w:rStyle w:val="Collegamentoipertestuale"/>
            <w:lang w:val="en-US"/>
          </w:rPr>
          <w:t>http://www.surt.org/mip/docs/finalResults/spain%20en.pdf</w:t>
        </w:r>
      </w:hyperlink>
    </w:p>
    <w:p w:rsidR="0056321E" w:rsidRDefault="0056321E" w:rsidP="0056321E">
      <w:pPr>
        <w:pStyle w:val="Corpotesto"/>
        <w:jc w:val="both"/>
        <w:rPr>
          <w:rFonts w:cs="Times New Roman"/>
          <w:color w:val="000000"/>
          <w:lang w:val="en"/>
        </w:rPr>
      </w:pPr>
      <w:r w:rsidRPr="00AF0B43">
        <w:rPr>
          <w:rFonts w:cs="Times New Roman"/>
          <w:lang w:val="en-US"/>
        </w:rPr>
        <w:t xml:space="preserve"> </w:t>
      </w:r>
    </w:p>
    <w:p w:rsidR="0056321E" w:rsidRPr="00AF0B43" w:rsidRDefault="0056321E" w:rsidP="0056321E">
      <w:pPr>
        <w:ind w:left="548" w:hanging="529"/>
        <w:jc w:val="both"/>
        <w:rPr>
          <w:rFonts w:cs="Times New Roman"/>
          <w:lang w:val="en-US"/>
        </w:rPr>
      </w:pPr>
      <w:r>
        <w:rPr>
          <w:rFonts w:cs="Times New Roman"/>
          <w:color w:val="000000"/>
          <w:lang w:val="en"/>
        </w:rPr>
        <w:t xml:space="preserve">Hawley, J., Murphy, I.,  </w:t>
      </w:r>
      <w:proofErr w:type="spellStart"/>
      <w:r>
        <w:rPr>
          <w:rFonts w:cs="Times New Roman"/>
          <w:color w:val="000000"/>
          <w:lang w:val="en"/>
        </w:rPr>
        <w:t>Souto</w:t>
      </w:r>
      <w:proofErr w:type="spellEnd"/>
      <w:r>
        <w:rPr>
          <w:rFonts w:cs="Times New Roman"/>
          <w:color w:val="000000"/>
          <w:lang w:val="en"/>
        </w:rPr>
        <w:t xml:space="preserve">-Otero, M. (2013).Prison education and training in </w:t>
      </w:r>
      <w:proofErr w:type="spellStart"/>
      <w:r>
        <w:rPr>
          <w:rFonts w:cs="Times New Roman"/>
          <w:color w:val="000000"/>
          <w:lang w:val="en"/>
        </w:rPr>
        <w:t>europe</w:t>
      </w:r>
      <w:proofErr w:type="spellEnd"/>
      <w:r>
        <w:rPr>
          <w:rFonts w:cs="Times New Roman"/>
          <w:color w:val="000000"/>
          <w:lang w:val="en"/>
        </w:rPr>
        <w:t xml:space="preserve"> current state-of-play and challenges.  A summary report authored for the European Commission by GHK Consulting. </w:t>
      </w:r>
      <w:r>
        <w:rPr>
          <w:rStyle w:val="Enfasigrassetto"/>
          <w:rFonts w:cs="Times New Roman"/>
          <w:b w:val="0"/>
          <w:bCs w:val="0"/>
          <w:color w:val="000000"/>
          <w:lang w:val="en"/>
        </w:rPr>
        <w:t>Retrieved from</w:t>
      </w:r>
      <w:r>
        <w:rPr>
          <w:rFonts w:cs="Times New Roman"/>
          <w:color w:val="000000"/>
          <w:lang w:val="en"/>
        </w:rPr>
        <w:t xml:space="preserve"> </w:t>
      </w:r>
      <w:hyperlink r:id="rId21" w:history="1">
        <w:r w:rsidRPr="00914015">
          <w:rPr>
            <w:rStyle w:val="Collegamentoipertestuale"/>
            <w:lang w:val="en-US"/>
          </w:rPr>
          <w:t>Http://www.antoniocasella.eu/nume/hawley_ue_education_may13.pdf</w:t>
        </w:r>
      </w:hyperlink>
    </w:p>
    <w:p w:rsidR="005049F5" w:rsidRPr="0056321E" w:rsidRDefault="005049F5" w:rsidP="0056321E">
      <w:pPr>
        <w:spacing w:line="360" w:lineRule="auto"/>
        <w:ind w:right="-7"/>
        <w:rPr>
          <w:rFonts w:ascii="Times New Roman" w:hAnsi="Times New Roman" w:cs="Times New Roman"/>
          <w:color w:val="222222"/>
          <w:shd w:val="clear" w:color="auto" w:fill="F8F9FA"/>
          <w:lang w:val="en-US"/>
        </w:rPr>
      </w:pPr>
    </w:p>
    <w:p w:rsidR="005049F5" w:rsidRPr="0056321E" w:rsidRDefault="005049F5" w:rsidP="0056321E">
      <w:pPr>
        <w:spacing w:line="360" w:lineRule="auto"/>
        <w:ind w:right="-7"/>
        <w:jc w:val="both"/>
        <w:rPr>
          <w:rFonts w:ascii="Times New Roman" w:eastAsia="Times New Roman" w:hAnsi="Times New Roman" w:cs="Times New Roman"/>
          <w:color w:val="222222"/>
          <w:shd w:val="clear" w:color="auto" w:fill="F8F9FA"/>
          <w:lang w:val="en-US" w:eastAsia="it-IT"/>
        </w:rPr>
      </w:pPr>
    </w:p>
    <w:p w:rsidR="00C04245" w:rsidRPr="0056321E" w:rsidRDefault="00C04245" w:rsidP="0056321E">
      <w:pPr>
        <w:tabs>
          <w:tab w:val="left" w:pos="916"/>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line="360" w:lineRule="auto"/>
        <w:ind w:right="-7"/>
        <w:jc w:val="both"/>
        <w:rPr>
          <w:rFonts w:ascii="Times New Roman" w:eastAsia="Courier New" w:hAnsi="Times New Roman" w:cs="Times New Roman"/>
          <w:kern w:val="1"/>
          <w:lang w:val="en-US" w:eastAsia="hi-IN" w:bidi="hi-IN"/>
        </w:rPr>
      </w:pPr>
    </w:p>
    <w:p w:rsidR="0067438F" w:rsidRPr="0056321E" w:rsidRDefault="0067438F" w:rsidP="0056321E">
      <w:pPr>
        <w:pStyle w:val="Testopreformattato"/>
        <w:tabs>
          <w:tab w:val="left" w:pos="8789"/>
        </w:tabs>
        <w:spacing w:line="360" w:lineRule="auto"/>
        <w:ind w:right="-7"/>
        <w:jc w:val="both"/>
        <w:rPr>
          <w:rFonts w:ascii="Times New Roman" w:hAnsi="Times New Roman" w:cs="Times New Roman"/>
          <w:sz w:val="24"/>
          <w:szCs w:val="24"/>
          <w:lang w:val="en"/>
        </w:rPr>
      </w:pPr>
    </w:p>
    <w:p w:rsidR="0067438F" w:rsidRPr="0056321E" w:rsidRDefault="0067438F" w:rsidP="0056321E">
      <w:pPr>
        <w:pStyle w:val="Testopreformattato"/>
        <w:tabs>
          <w:tab w:val="left" w:pos="8789"/>
        </w:tabs>
        <w:spacing w:line="360" w:lineRule="auto"/>
        <w:ind w:right="-7"/>
        <w:jc w:val="both"/>
        <w:rPr>
          <w:rFonts w:ascii="Times New Roman" w:hAnsi="Times New Roman" w:cs="Times New Roman"/>
          <w:color w:val="222222"/>
          <w:sz w:val="24"/>
          <w:szCs w:val="24"/>
          <w:lang w:val="en"/>
        </w:rPr>
      </w:pPr>
    </w:p>
    <w:p w:rsidR="00EF20B4" w:rsidRPr="0056321E" w:rsidRDefault="00EF20B4" w:rsidP="0056321E">
      <w:pPr>
        <w:pStyle w:val="Testopreformattato"/>
        <w:tabs>
          <w:tab w:val="left" w:pos="8789"/>
        </w:tabs>
        <w:spacing w:line="360" w:lineRule="auto"/>
        <w:ind w:right="-7"/>
        <w:jc w:val="both"/>
        <w:rPr>
          <w:rFonts w:ascii="Times New Roman" w:hAnsi="Times New Roman" w:cs="Times New Roman"/>
          <w:color w:val="000000"/>
          <w:sz w:val="24"/>
          <w:szCs w:val="24"/>
          <w:lang w:val="en"/>
        </w:rPr>
      </w:pPr>
    </w:p>
    <w:p w:rsidR="00C95B6A" w:rsidRPr="0056321E" w:rsidRDefault="007679DF" w:rsidP="0056321E">
      <w:pPr>
        <w:tabs>
          <w:tab w:val="left" w:pos="8789"/>
        </w:tabs>
        <w:spacing w:line="360" w:lineRule="auto"/>
        <w:ind w:right="-7"/>
        <w:rPr>
          <w:lang w:val="en"/>
        </w:rPr>
      </w:pPr>
    </w:p>
    <w:sectPr w:rsidR="00C95B6A" w:rsidRPr="0056321E" w:rsidSect="00A306E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9DF" w:rsidRDefault="007679DF" w:rsidP="00EF20B4">
      <w:r>
        <w:separator/>
      </w:r>
    </w:p>
  </w:endnote>
  <w:endnote w:type="continuationSeparator" w:id="0">
    <w:p w:rsidR="007679DF" w:rsidRDefault="007679DF" w:rsidP="00EF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NewRoman">
    <w:altName w:val="Times New Roman"/>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Work San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9DF" w:rsidRDefault="007679DF" w:rsidP="00EF20B4">
      <w:r>
        <w:separator/>
      </w:r>
    </w:p>
  </w:footnote>
  <w:footnote w:type="continuationSeparator" w:id="0">
    <w:p w:rsidR="007679DF" w:rsidRDefault="007679DF" w:rsidP="00EF20B4">
      <w:r>
        <w:continuationSeparator/>
      </w:r>
    </w:p>
  </w:footnote>
  <w:footnote w:id="1">
    <w:p w:rsidR="00EF20B4" w:rsidRPr="00AF0B43" w:rsidRDefault="00EF20B4" w:rsidP="00EF20B4">
      <w:pPr>
        <w:pStyle w:val="Testonotaapidipagina"/>
        <w:rPr>
          <w:lang w:val="en-US"/>
        </w:rPr>
      </w:pPr>
      <w:r>
        <w:rPr>
          <w:rStyle w:val="Caratteredellanota"/>
        </w:rPr>
        <w:footnoteRef/>
      </w:r>
      <w:r>
        <w:rPr>
          <w:lang w:val="en-GB"/>
        </w:rPr>
        <w:tab/>
        <w:t>Ministry of Justice, update to 30 November 2019</w:t>
      </w:r>
    </w:p>
  </w:footnote>
  <w:footnote w:id="2">
    <w:p w:rsidR="00EF20B4" w:rsidRPr="00AF0B43" w:rsidRDefault="00EF20B4" w:rsidP="00EF20B4">
      <w:pPr>
        <w:pStyle w:val="Testonotaapidipagina"/>
        <w:rPr>
          <w:lang w:val="en-US"/>
        </w:rPr>
      </w:pPr>
      <w:r>
        <w:rPr>
          <w:rStyle w:val="Caratteredellanota"/>
        </w:rPr>
        <w:footnoteRef/>
      </w:r>
      <w:r>
        <w:rPr>
          <w:lang w:val="en-GB"/>
        </w:rPr>
        <w:tab/>
        <w:t>https://www.prisonstudies.org/country/italy</w:t>
      </w:r>
    </w:p>
  </w:footnote>
  <w:footnote w:id="3">
    <w:p w:rsidR="0067438F" w:rsidRDefault="0067438F" w:rsidP="0067438F">
      <w:pPr>
        <w:pStyle w:val="Testonotaapidipagina"/>
        <w:ind w:left="302"/>
      </w:pPr>
      <w:r>
        <w:rPr>
          <w:rStyle w:val="Caratteredellanota"/>
        </w:rPr>
        <w:footnoteRef/>
      </w:r>
      <w:r>
        <w:rPr>
          <w:rStyle w:val="Enfasicorsivo"/>
          <w:rFonts w:cs="Times New Roman"/>
          <w:i w:val="0"/>
          <w:color w:val="52565A"/>
        </w:rPr>
        <w:tab/>
        <w:t>Costituzione</w:t>
      </w:r>
      <w:r>
        <w:rPr>
          <w:rFonts w:cs="Times New Roman"/>
          <w:color w:val="3C4043"/>
        </w:rPr>
        <w:t xml:space="preserve"> della Repubblica </w:t>
      </w:r>
      <w:r>
        <w:rPr>
          <w:rStyle w:val="Enfasicorsivo"/>
          <w:rFonts w:cs="Times New Roman"/>
          <w:i w:val="0"/>
          <w:color w:val="52565A"/>
        </w:rPr>
        <w:t>italiana</w:t>
      </w:r>
      <w:r>
        <w:rPr>
          <w:rStyle w:val="Enfasicorsivo"/>
          <w:rFonts w:cs="Times New Roman"/>
          <w:b/>
          <w:i w:val="0"/>
          <w:color w:val="52565A"/>
        </w:rPr>
        <w:t xml:space="preserve">, </w:t>
      </w:r>
      <w:r>
        <w:rPr>
          <w:rFonts w:cs="Times New Roman"/>
          <w:color w:val="3C4043"/>
        </w:rPr>
        <w:t>Parte I. Diritti e doveri dei cittadini. Titolo I. Rapporti civili</w:t>
      </w:r>
      <w:r>
        <w:rPr>
          <w:rFonts w:cs="Times New Roman"/>
          <w:b/>
          <w:bCs/>
          <w:color w:val="3C4043"/>
        </w:rPr>
        <w:t xml:space="preserve">. </w:t>
      </w:r>
      <w:r>
        <w:rPr>
          <w:rStyle w:val="Enfasicorsivo"/>
          <w:rFonts w:cs="Times New Roman"/>
          <w:i w:val="0"/>
          <w:color w:val="52565A"/>
        </w:rPr>
        <w:t>Articolo 27</w:t>
      </w:r>
      <w:r>
        <w:rPr>
          <w:rFonts w:ascii="Arial" w:hAnsi="Arial" w:cs="Arial"/>
          <w:color w:val="3C4043"/>
        </w:rPr>
        <w:t>.”</w:t>
      </w:r>
      <w:r>
        <w:rPr>
          <w:rFonts w:cs="Times New Roman"/>
          <w:color w:val="000000"/>
        </w:rPr>
        <w:t>Le pene non possono consistere in trattamenti contrari al senso di umanità e devono tendere alla rieducazione del condannato”</w:t>
      </w:r>
    </w:p>
  </w:footnote>
  <w:footnote w:id="4">
    <w:p w:rsidR="00E23F67" w:rsidRDefault="00E23F67" w:rsidP="00E23F67">
      <w:pPr>
        <w:pStyle w:val="Testonotaapidipagina"/>
      </w:pPr>
      <w:r>
        <w:rPr>
          <w:rStyle w:val="Caratteredellanota"/>
        </w:rPr>
        <w:footnoteRef/>
      </w:r>
      <w:r>
        <w:tab/>
        <w:t>https://epale.ec.europa.eu/it/content/convegno-istruzione-e-formazione-nei-contesti-penitenziari-nuove-azioni-e-prospettive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B4"/>
    <w:rsid w:val="00053577"/>
    <w:rsid w:val="000575ED"/>
    <w:rsid w:val="0012007C"/>
    <w:rsid w:val="00126920"/>
    <w:rsid w:val="003E4968"/>
    <w:rsid w:val="004F1267"/>
    <w:rsid w:val="005049F5"/>
    <w:rsid w:val="0056321E"/>
    <w:rsid w:val="006119F9"/>
    <w:rsid w:val="006625BE"/>
    <w:rsid w:val="0067438F"/>
    <w:rsid w:val="00705693"/>
    <w:rsid w:val="007679DF"/>
    <w:rsid w:val="00776B50"/>
    <w:rsid w:val="00777063"/>
    <w:rsid w:val="00822A64"/>
    <w:rsid w:val="008A0B33"/>
    <w:rsid w:val="008E7358"/>
    <w:rsid w:val="00914015"/>
    <w:rsid w:val="00A306E2"/>
    <w:rsid w:val="00A6006C"/>
    <w:rsid w:val="00B769FF"/>
    <w:rsid w:val="00BA1A55"/>
    <w:rsid w:val="00C04245"/>
    <w:rsid w:val="00C96620"/>
    <w:rsid w:val="00D9764A"/>
    <w:rsid w:val="00E23F67"/>
    <w:rsid w:val="00E729A8"/>
    <w:rsid w:val="00EF2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00C5"/>
  <w15:chartTrackingRefBased/>
  <w15:docId w15:val="{B7FDB217-EE93-8D4F-894C-67F1CAF6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ellanota">
    <w:name w:val="Carattere della nota"/>
    <w:rsid w:val="00EF20B4"/>
  </w:style>
  <w:style w:type="character" w:customStyle="1" w:styleId="Rimandonotaapidipagina1">
    <w:name w:val="Rimando nota a piè di pagina1"/>
    <w:rsid w:val="00EF20B4"/>
    <w:rPr>
      <w:vertAlign w:val="superscript"/>
    </w:rPr>
  </w:style>
  <w:style w:type="paragraph" w:customStyle="1" w:styleId="Testopreformattato">
    <w:name w:val="Testo preformattato"/>
    <w:basedOn w:val="Normale"/>
    <w:rsid w:val="00EF20B4"/>
    <w:pPr>
      <w:widowControl w:val="0"/>
      <w:suppressAutoHyphens/>
    </w:pPr>
    <w:rPr>
      <w:rFonts w:ascii="Courier New" w:eastAsia="Courier New" w:hAnsi="Courier New" w:cs="Courier New"/>
      <w:kern w:val="1"/>
      <w:sz w:val="20"/>
      <w:szCs w:val="20"/>
      <w:lang w:eastAsia="hi-IN" w:bidi="hi-IN"/>
    </w:rPr>
  </w:style>
  <w:style w:type="paragraph" w:styleId="Testonotaapidipagina">
    <w:name w:val="footnote text"/>
    <w:basedOn w:val="Normale"/>
    <w:link w:val="TestonotaapidipaginaCarattere"/>
    <w:rsid w:val="00EF20B4"/>
    <w:pPr>
      <w:widowControl w:val="0"/>
      <w:suppressLineNumbers/>
      <w:suppressAutoHyphens/>
      <w:ind w:left="283" w:hanging="283"/>
    </w:pPr>
    <w:rPr>
      <w:rFonts w:ascii="Times New Roman" w:eastAsia="Arial Unicode MS" w:hAnsi="Times New Roman" w:cs="Arial Unicode MS"/>
      <w:kern w:val="1"/>
      <w:sz w:val="20"/>
      <w:szCs w:val="20"/>
      <w:lang w:eastAsia="hi-IN" w:bidi="hi-IN"/>
    </w:rPr>
  </w:style>
  <w:style w:type="character" w:customStyle="1" w:styleId="TestonotaapidipaginaCarattere">
    <w:name w:val="Testo nota a piè di pagina Carattere"/>
    <w:basedOn w:val="Carpredefinitoparagrafo"/>
    <w:link w:val="Testonotaapidipagina"/>
    <w:rsid w:val="00EF20B4"/>
    <w:rPr>
      <w:rFonts w:ascii="Times New Roman" w:eastAsia="Arial Unicode MS" w:hAnsi="Times New Roman" w:cs="Arial Unicode MS"/>
      <w:kern w:val="1"/>
      <w:sz w:val="20"/>
      <w:szCs w:val="20"/>
      <w:lang w:eastAsia="hi-IN" w:bidi="hi-IN"/>
    </w:rPr>
  </w:style>
  <w:style w:type="character" w:styleId="Enfasicorsivo">
    <w:name w:val="Emphasis"/>
    <w:qFormat/>
    <w:rsid w:val="0067438F"/>
    <w:rPr>
      <w:i/>
      <w:iCs/>
    </w:rPr>
  </w:style>
  <w:style w:type="character" w:styleId="Rimandonotaapidipagina">
    <w:name w:val="footnote reference"/>
    <w:rsid w:val="0067438F"/>
    <w:rPr>
      <w:vertAlign w:val="superscript"/>
    </w:rPr>
  </w:style>
  <w:style w:type="paragraph" w:styleId="PreformattatoHTML">
    <w:name w:val="HTML Preformatted"/>
    <w:basedOn w:val="Normale"/>
    <w:link w:val="PreformattatoHTMLCarattere"/>
    <w:uiPriority w:val="99"/>
    <w:unhideWhenUsed/>
    <w:rsid w:val="0012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2007C"/>
    <w:rPr>
      <w:rFonts w:ascii="Courier New" w:eastAsia="Times New Roman" w:hAnsi="Courier New" w:cs="Courier New"/>
      <w:sz w:val="20"/>
      <w:szCs w:val="20"/>
      <w:lang w:eastAsia="it-IT"/>
    </w:rPr>
  </w:style>
  <w:style w:type="character" w:customStyle="1" w:styleId="Punti">
    <w:name w:val="Punti"/>
    <w:rsid w:val="00E23F67"/>
    <w:rPr>
      <w:rFonts w:ascii="OpenSymbol" w:eastAsia="OpenSymbol" w:hAnsi="OpenSymbol" w:cs="OpenSymbol"/>
    </w:rPr>
  </w:style>
  <w:style w:type="character" w:styleId="Enfasigrassetto">
    <w:name w:val="Strong"/>
    <w:qFormat/>
    <w:rsid w:val="0056321E"/>
    <w:rPr>
      <w:b/>
      <w:bCs/>
    </w:rPr>
  </w:style>
  <w:style w:type="character" w:styleId="Collegamentoipertestuale">
    <w:name w:val="Hyperlink"/>
    <w:rsid w:val="0056321E"/>
    <w:rPr>
      <w:color w:val="000080"/>
      <w:u w:val="single"/>
    </w:rPr>
  </w:style>
  <w:style w:type="paragraph" w:styleId="Corpotesto">
    <w:name w:val="Body Text"/>
    <w:basedOn w:val="Normale"/>
    <w:link w:val="CorpotestoCarattere"/>
    <w:rsid w:val="0056321E"/>
    <w:pPr>
      <w:widowControl w:val="0"/>
      <w:suppressAutoHyphens/>
      <w:spacing w:after="120"/>
    </w:pPr>
    <w:rPr>
      <w:rFonts w:ascii="Times New Roman" w:eastAsia="Arial Unicode MS" w:hAnsi="Times New Roman" w:cs="Arial Unicode MS"/>
      <w:kern w:val="1"/>
      <w:lang w:eastAsia="hi-IN" w:bidi="hi-IN"/>
    </w:rPr>
  </w:style>
  <w:style w:type="character" w:customStyle="1" w:styleId="CorpotestoCarattere">
    <w:name w:val="Corpo testo Carattere"/>
    <w:basedOn w:val="Carpredefinitoparagrafo"/>
    <w:link w:val="Corpotesto"/>
    <w:rsid w:val="0056321E"/>
    <w:rPr>
      <w:rFonts w:ascii="Times New Roman" w:eastAsia="Arial Unicode MS" w:hAnsi="Times New Roman" w:cs="Arial Unicode M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2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sonstudies.org/research-publications?shs_term_node_tid_depth=27" TargetMode="External"/><Relationship Id="rId13" Type="http://schemas.openxmlformats.org/officeDocument/2006/relationships/hyperlink" Target="https://www.prisonstudies.org/country/italy" TargetMode="External"/><Relationship Id="rId18" Type="http://schemas.openxmlformats.org/officeDocument/2006/relationships/hyperlink" Target="http://www.antigone.it/quindicesimo-rapporto-sulle-condizioni-di-detenzione/donne-non-solo-numeri/" TargetMode="External"/><Relationship Id="rId3" Type="http://schemas.openxmlformats.org/officeDocument/2006/relationships/webSettings" Target="webSettings.xml"/><Relationship Id="rId21" Type="http://schemas.openxmlformats.org/officeDocument/2006/relationships/hyperlink" Target="http://www.antoniocasella.eu/nume/hawley_ue_education_may13.pdf" TargetMode="External"/><Relationship Id="rId7" Type="http://schemas.openxmlformats.org/officeDocument/2006/relationships/chart" Target="charts/chart2.xml"/><Relationship Id="rId12" Type="http://schemas.openxmlformats.org/officeDocument/2006/relationships/hyperlink" Target="https://www.giustizia.it/giustizia/it/mg_1_12_1.page?contentId=SPS1155101&amp;previsiousPage=mg_1_12" TargetMode="External"/><Relationship Id="rId17" Type="http://schemas.openxmlformats.org/officeDocument/2006/relationships/hyperlink" Target="http://www.antigone.it/tredicesimo-rapporto-sulle-condizioni-di-detenzione/03-detenzione-femminile/" TargetMode="External"/><Relationship Id="rId2" Type="http://schemas.openxmlformats.org/officeDocument/2006/relationships/settings" Target="settings.xml"/><Relationship Id="rId16" Type="http://schemas.openxmlformats.org/officeDocument/2006/relationships/hyperlink" Target="http://www.personaedanno.it/" TargetMode="External"/><Relationship Id="rId20" Type="http://schemas.openxmlformats.org/officeDocument/2006/relationships/hyperlink" Target="http://www.surt.org/mip/docs/finalResults/spain%20en.pdf" TargetMode="Externa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yperlink" Target="https://www.istat.it/" TargetMode="External"/><Relationship Id="rId5" Type="http://schemas.openxmlformats.org/officeDocument/2006/relationships/endnotes" Target="endnotes.xml"/><Relationship Id="rId15" Type="http://schemas.openxmlformats.org/officeDocument/2006/relationships/hyperlink" Target="http://www.ristrettiorizzonti.it/" TargetMode="External"/><Relationship Id="rId23" Type="http://schemas.openxmlformats.org/officeDocument/2006/relationships/theme" Target="theme/theme1.xml"/><Relationship Id="rId10" Type="http://schemas.openxmlformats.org/officeDocument/2006/relationships/hyperlink" Target="http://www.europarl.europa.eu/sides/getDoc.do?pubRef=-//EP//NONSGML+REPORT+A6-2008-0033+0+DOC+PDF+V0//EN" TargetMode="External"/><Relationship Id="rId19" Type="http://schemas.openxmlformats.org/officeDocument/2006/relationships/hyperlink" Target="http://www.costituzionalismo.it/download/Costituzionalismo_201502_521.pdf" TargetMode="External"/><Relationship Id="rId4" Type="http://schemas.openxmlformats.org/officeDocument/2006/relationships/footnotes" Target="footnotes.xml"/><Relationship Id="rId9" Type="http://schemas.openxmlformats.org/officeDocument/2006/relationships/hyperlink" Target="https://www.prisonstudies.org/research-publications?shs_term_node_tid_depth=27" TargetMode="External"/><Relationship Id="rId14" Type="http://schemas.openxmlformats.org/officeDocument/2006/relationships/hyperlink" Target="http://www.amministrazioneincammino.luiss.it/app/uploads/2011/10/Salvati-detenzione-femminile_riv.pdf"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Foglio_di_lavoro_di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Foglio_di_lavoro_di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CRIME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t-IT"/>
        </a:p>
      </c:txPr>
    </c:title>
    <c:autoTitleDeleted val="0"/>
    <c:plotArea>
      <c:layout/>
      <c:pieChart>
        <c:varyColors val="1"/>
        <c:ser>
          <c:idx val="0"/>
          <c:order val="0"/>
          <c:tx>
            <c:strRef>
              <c:f>Foglio1!$B$1</c:f>
              <c:strCache>
                <c:ptCount val="1"/>
                <c:pt idx="0">
                  <c:v>Vendite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E6C-5548-BC38-1D658C12A18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E6C-5548-BC38-1D658C12A18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E6C-5548-BC38-1D658C12A18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Foglio1!$A$2:$A$4</c:f>
              <c:strCache>
                <c:ptCount val="3"/>
                <c:pt idx="0">
                  <c:v>Asset-related crimes</c:v>
                </c:pt>
                <c:pt idx="1">
                  <c:v>the drug law </c:v>
                </c:pt>
                <c:pt idx="2">
                  <c:v>crimes against the person </c:v>
                </c:pt>
              </c:strCache>
            </c:strRef>
          </c:cat>
          <c:val>
            <c:numRef>
              <c:f>Foglio1!$B$2:$B$4</c:f>
              <c:numCache>
                <c:formatCode>0%</c:formatCode>
                <c:ptCount val="3"/>
                <c:pt idx="0">
                  <c:v>49</c:v>
                </c:pt>
                <c:pt idx="1">
                  <c:v>32</c:v>
                </c:pt>
                <c:pt idx="2">
                  <c:v>19</c:v>
                </c:pt>
              </c:numCache>
            </c:numRef>
          </c:val>
          <c:extLst>
            <c:ext xmlns:c16="http://schemas.microsoft.com/office/drawing/2014/chart" uri="{C3380CC4-5D6E-409C-BE32-E72D297353CC}">
              <c16:uniqueId val="{00000000-6509-5943-90FE-965E12DE3F3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SKILLS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stacked"/>
        <c:varyColors val="0"/>
        <c:ser>
          <c:idx val="0"/>
          <c:order val="0"/>
          <c:tx>
            <c:strRef>
              <c:f>Foglio1!$B$1</c:f>
              <c:strCache>
                <c:ptCount val="1"/>
                <c:pt idx="0">
                  <c:v>value 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Foglio1!$A$2:$A$10</c:f>
              <c:strCache>
                <c:ptCount val="9"/>
                <c:pt idx="0">
                  <c:v>problem solvig</c:v>
                </c:pt>
                <c:pt idx="1">
                  <c:v>critical thinking</c:v>
                </c:pt>
                <c:pt idx="2">
                  <c:v>creativity</c:v>
                </c:pt>
                <c:pt idx="3">
                  <c:v>simpaty</c:v>
                </c:pt>
                <c:pt idx="4">
                  <c:v>emotional intelligence</c:v>
                </c:pt>
                <c:pt idx="5">
                  <c:v>critical decision making</c:v>
                </c:pt>
                <c:pt idx="6">
                  <c:v>persistence</c:v>
                </c:pt>
                <c:pt idx="7">
                  <c:v>cognitive flexibility</c:v>
                </c:pt>
                <c:pt idx="8">
                  <c:v>negotiation</c:v>
                </c:pt>
              </c:strCache>
            </c:strRef>
          </c:cat>
          <c:val>
            <c:numRef>
              <c:f>Foglio1!$B$2:$B$10</c:f>
              <c:numCache>
                <c:formatCode>General</c:formatCode>
                <c:ptCount val="9"/>
                <c:pt idx="0">
                  <c:v>18</c:v>
                </c:pt>
                <c:pt idx="1">
                  <c:v>22</c:v>
                </c:pt>
                <c:pt idx="2">
                  <c:v>28</c:v>
                </c:pt>
                <c:pt idx="3">
                  <c:v>3</c:v>
                </c:pt>
                <c:pt idx="4">
                  <c:v>15</c:v>
                </c:pt>
                <c:pt idx="5">
                  <c:v>29</c:v>
                </c:pt>
                <c:pt idx="6">
                  <c:v>19</c:v>
                </c:pt>
                <c:pt idx="7">
                  <c:v>18</c:v>
                </c:pt>
                <c:pt idx="8">
                  <c:v>21</c:v>
                </c:pt>
              </c:numCache>
            </c:numRef>
          </c:val>
          <c:extLst>
            <c:ext xmlns:c16="http://schemas.microsoft.com/office/drawing/2014/chart" uri="{C3380CC4-5D6E-409C-BE32-E72D297353CC}">
              <c16:uniqueId val="{00000000-9525-1342-8BD3-70242AD1CBA8}"/>
            </c:ext>
          </c:extLst>
        </c:ser>
        <c:ser>
          <c:idx val="1"/>
          <c:order val="1"/>
          <c:tx>
            <c:strRef>
              <c:f>Foglio1!$C$1</c:f>
              <c:strCache>
                <c:ptCount val="1"/>
                <c:pt idx="0">
                  <c:v>value 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Foglio1!$A$2:$A$10</c:f>
              <c:strCache>
                <c:ptCount val="9"/>
                <c:pt idx="0">
                  <c:v>problem solvig</c:v>
                </c:pt>
                <c:pt idx="1">
                  <c:v>critical thinking</c:v>
                </c:pt>
                <c:pt idx="2">
                  <c:v>creativity</c:v>
                </c:pt>
                <c:pt idx="3">
                  <c:v>simpaty</c:v>
                </c:pt>
                <c:pt idx="4">
                  <c:v>emotional intelligence</c:v>
                </c:pt>
                <c:pt idx="5">
                  <c:v>critical decision making</c:v>
                </c:pt>
                <c:pt idx="6">
                  <c:v>persistence</c:v>
                </c:pt>
                <c:pt idx="7">
                  <c:v>cognitive flexibility</c:v>
                </c:pt>
                <c:pt idx="8">
                  <c:v>negotiation</c:v>
                </c:pt>
              </c:strCache>
            </c:strRef>
          </c:cat>
          <c:val>
            <c:numRef>
              <c:f>Foglio1!$C$2:$C$10</c:f>
              <c:numCache>
                <c:formatCode>General</c:formatCode>
                <c:ptCount val="9"/>
                <c:pt idx="0">
                  <c:v>27</c:v>
                </c:pt>
                <c:pt idx="1">
                  <c:v>7</c:v>
                </c:pt>
                <c:pt idx="2">
                  <c:v>9</c:v>
                </c:pt>
                <c:pt idx="3">
                  <c:v>1</c:v>
                </c:pt>
                <c:pt idx="4">
                  <c:v>9</c:v>
                </c:pt>
                <c:pt idx="5">
                  <c:v>12</c:v>
                </c:pt>
                <c:pt idx="6">
                  <c:v>27</c:v>
                </c:pt>
                <c:pt idx="7">
                  <c:v>17</c:v>
                </c:pt>
                <c:pt idx="8">
                  <c:v>12</c:v>
                </c:pt>
              </c:numCache>
            </c:numRef>
          </c:val>
          <c:extLst>
            <c:ext xmlns:c16="http://schemas.microsoft.com/office/drawing/2014/chart" uri="{C3380CC4-5D6E-409C-BE32-E72D297353CC}">
              <c16:uniqueId val="{00000001-9525-1342-8BD3-70242AD1CBA8}"/>
            </c:ext>
          </c:extLst>
        </c:ser>
        <c:dLbls>
          <c:dLblPos val="ctr"/>
          <c:showLegendKey val="0"/>
          <c:showVal val="1"/>
          <c:showCatName val="0"/>
          <c:showSerName val="0"/>
          <c:showPercent val="0"/>
          <c:showBubbleSize val="0"/>
        </c:dLbls>
        <c:gapWidth val="150"/>
        <c:overlap val="100"/>
        <c:axId val="1857330543"/>
        <c:axId val="1800235215"/>
      </c:barChart>
      <c:catAx>
        <c:axId val="1857330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800235215"/>
        <c:crosses val="autoZero"/>
        <c:auto val="1"/>
        <c:lblAlgn val="ctr"/>
        <c:lblOffset val="100"/>
        <c:noMultiLvlLbl val="0"/>
      </c:catAx>
      <c:valAx>
        <c:axId val="18002352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857330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2342</Words>
  <Characters>13350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2020-07-06T08:23:00Z</dcterms:created>
  <dcterms:modified xsi:type="dcterms:W3CDTF">2020-07-11T06:36:00Z</dcterms:modified>
</cp:coreProperties>
</file>